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0BFD" w14:textId="181A82E7" w:rsidR="00382720" w:rsidRDefault="000B3911">
      <w:pPr>
        <w:spacing w:after="0" w:line="259" w:lineRule="auto"/>
        <w:ind w:right="-15"/>
        <w:jc w:val="right"/>
      </w:pPr>
      <w:r>
        <w:t xml:space="preserve"> </w:t>
      </w:r>
    </w:p>
    <w:p w14:paraId="3B8E0BFF" w14:textId="0061E5AE" w:rsidR="00382720" w:rsidRPr="00F203BC" w:rsidRDefault="001255DD">
      <w:pPr>
        <w:spacing w:after="156" w:line="259" w:lineRule="auto"/>
        <w:ind w:left="2" w:firstLine="0"/>
        <w:rPr>
          <w:rFonts w:ascii="Cambria" w:eastAsia="Cambria" w:hAnsi="Cambria" w:cs="Cambria"/>
          <w:b/>
          <w:color w:val="auto"/>
          <w:sz w:val="24"/>
        </w:rPr>
      </w:pPr>
      <w:r>
        <w:rPr>
          <w:b/>
          <w:color w:val="auto"/>
          <w:sz w:val="24"/>
        </w:rPr>
        <w:t>Haki</w:t>
      </w:r>
      <w:r w:rsidR="000B3911" w:rsidRPr="00F203BC">
        <w:rPr>
          <w:b/>
          <w:color w:val="auto"/>
          <w:sz w:val="24"/>
        </w:rPr>
        <w:t>jan vakuutus pakotteista ja sopimusehtojen täydentäminen</w:t>
      </w:r>
    </w:p>
    <w:p w14:paraId="3C00F5D6" w14:textId="77777777" w:rsidR="003A1DA2" w:rsidRDefault="003A1DA2">
      <w:pPr>
        <w:spacing w:after="156" w:line="259" w:lineRule="auto"/>
        <w:ind w:left="2" w:firstLine="0"/>
      </w:pPr>
    </w:p>
    <w:p w14:paraId="3B8E0C00" w14:textId="66BD3024" w:rsidR="00382720" w:rsidRDefault="000B3911" w:rsidP="00B63E1D">
      <w:pPr>
        <w:numPr>
          <w:ilvl w:val="0"/>
          <w:numId w:val="1"/>
        </w:numPr>
        <w:spacing w:after="201"/>
        <w:ind w:left="273" w:hanging="271"/>
      </w:pPr>
      <w:r>
        <w:t xml:space="preserve">Euroopan unioni </w:t>
      </w:r>
      <w:r w:rsidR="00E11E24">
        <w:t xml:space="preserve">(EU) </w:t>
      </w:r>
      <w:r w:rsidR="00FD747C">
        <w:t>ja</w:t>
      </w:r>
      <w:r>
        <w:t xml:space="preserve"> </w:t>
      </w:r>
      <w:r w:rsidR="00E11E24">
        <w:t>Yhdistyneet Kansakunnat (</w:t>
      </w:r>
      <w:r>
        <w:t>YK</w:t>
      </w:r>
      <w:r w:rsidR="00E11E24">
        <w:t>) ovat asettaneet</w:t>
      </w:r>
      <w:r>
        <w:t xml:space="preserve"> ja saatta</w:t>
      </w:r>
      <w:r w:rsidR="00E11E24">
        <w:t>v</w:t>
      </w:r>
      <w:r>
        <w:t>a</w:t>
      </w:r>
      <w:r w:rsidR="00E11E24">
        <w:t>t</w:t>
      </w:r>
      <w:r>
        <w:t xml:space="preserve"> tulevaisuudessa asettaa pakotteita </w:t>
      </w:r>
      <w:r w:rsidR="00E11E24">
        <w:t xml:space="preserve">ja/tai rajoitteita lainsäädännössään </w:t>
      </w:r>
      <w:r>
        <w:t>tai toimielintensä päätöksil</w:t>
      </w:r>
      <w:r w:rsidR="004D234C">
        <w:t xml:space="preserve">lä. </w:t>
      </w:r>
      <w:r w:rsidR="001255DD">
        <w:t>Haki</w:t>
      </w:r>
      <w:r w:rsidR="004D234C">
        <w:t>ja vakuuttaa, että</w:t>
      </w:r>
    </w:p>
    <w:p w14:paraId="3B8E0C01" w14:textId="0BC44F9B" w:rsidR="00382720" w:rsidRDefault="004D234C" w:rsidP="004D234C">
      <w:pPr>
        <w:spacing w:after="201"/>
        <w:ind w:left="273" w:firstLine="0"/>
      </w:pPr>
      <w:r>
        <w:t>a) edellä tarkoitettuja pakotteita ei ole asetettu</w:t>
      </w:r>
      <w:r w:rsidR="000B3911">
        <w:rPr>
          <w:vertAlign w:val="superscript"/>
        </w:rPr>
        <w:footnoteReference w:id="1"/>
      </w:r>
    </w:p>
    <w:p w14:paraId="3B8E0C02" w14:textId="0CDF2622" w:rsidR="00382720" w:rsidRDefault="001255DD" w:rsidP="00BD46B9">
      <w:pPr>
        <w:numPr>
          <w:ilvl w:val="0"/>
          <w:numId w:val="2"/>
        </w:numPr>
        <w:spacing w:after="120"/>
        <w:ind w:hanging="569"/>
      </w:pPr>
      <w:r>
        <w:t>Haki</w:t>
      </w:r>
      <w:r w:rsidR="000B3911">
        <w:t xml:space="preserve">jalle,  </w:t>
      </w:r>
    </w:p>
    <w:p w14:paraId="3B8E0C03" w14:textId="24DBF0F4" w:rsidR="00382720" w:rsidRDefault="001255DD" w:rsidP="00BD46B9">
      <w:pPr>
        <w:numPr>
          <w:ilvl w:val="0"/>
          <w:numId w:val="2"/>
        </w:numPr>
        <w:ind w:hanging="569"/>
      </w:pPr>
      <w:r>
        <w:t>Haki</w:t>
      </w:r>
      <w:r w:rsidR="000B3911">
        <w:t xml:space="preserve">jan hallinto-, johto- tai valvontaelimen jäsenille tai määräys-, edustus-, päätös- tai valvontavaltaa käyttäville henkilöille, </w:t>
      </w:r>
    </w:p>
    <w:p w14:paraId="3B8E0C04" w14:textId="07811B72" w:rsidR="00382720" w:rsidRDefault="001255DD" w:rsidP="008B0BBC">
      <w:pPr>
        <w:numPr>
          <w:ilvl w:val="0"/>
          <w:numId w:val="2"/>
        </w:numPr>
        <w:ind w:hanging="569"/>
      </w:pPr>
      <w:r>
        <w:t>Haki</w:t>
      </w:r>
      <w:r w:rsidR="000B3911">
        <w:t xml:space="preserve">jan välittömille tai välillisille omistajille, </w:t>
      </w:r>
      <w:r w:rsidR="008B0BBC" w:rsidRPr="008B0BBC">
        <w:t>jotka omistavat yli 50 prosenttia yhteisön omistusoikeuksista tai sen osake-enemmistön</w:t>
      </w:r>
    </w:p>
    <w:p w14:paraId="3B8E0C05" w14:textId="65B3653F" w:rsidR="00382720" w:rsidRDefault="000B3911" w:rsidP="00BD46B9">
      <w:pPr>
        <w:numPr>
          <w:ilvl w:val="0"/>
          <w:numId w:val="2"/>
        </w:numPr>
        <w:ind w:hanging="569"/>
      </w:pPr>
      <w:r>
        <w:t xml:space="preserve">sellaisille alihankkijoille, jotka osallistuvat tämän sopimuksen mukaisten tuotteiden </w:t>
      </w:r>
      <w:r w:rsidR="008B0BBC">
        <w:t xml:space="preserve">tai palvelujen toimittamiseen, </w:t>
      </w:r>
    </w:p>
    <w:p w14:paraId="3B8E0C06" w14:textId="77777777" w:rsidR="00010250" w:rsidRDefault="000B3911" w:rsidP="00BD46B9">
      <w:pPr>
        <w:numPr>
          <w:ilvl w:val="0"/>
          <w:numId w:val="2"/>
        </w:numPr>
        <w:ind w:hanging="569"/>
      </w:pPr>
      <w:r>
        <w:t xml:space="preserve">kyseisten alihankkijoiden hallinto-, johto- tai valvontaelimen jäsenille tai määräys-, edustus-, päätös- tai valvontavaltaa kyseissä alihankkijoissa käyttäville henkilöille, eikä </w:t>
      </w:r>
    </w:p>
    <w:p w14:paraId="3B8E0C07" w14:textId="43A3AC31" w:rsidR="00382720" w:rsidRDefault="000B3911" w:rsidP="008B0BBC">
      <w:pPr>
        <w:numPr>
          <w:ilvl w:val="0"/>
          <w:numId w:val="2"/>
        </w:numPr>
        <w:ind w:hanging="569"/>
      </w:pPr>
      <w:r>
        <w:t>kyseisten alihankkijoiden välittömille tai välillisille omistajille</w:t>
      </w:r>
      <w:r w:rsidR="008B0BBC">
        <w:t xml:space="preserve">, </w:t>
      </w:r>
      <w:r w:rsidR="008B0BBC" w:rsidRPr="008B0BBC">
        <w:t>jotka omistavat yli 50 prosenttia yhteisön omistusoikeuksista tai sen osake-enemmistön</w:t>
      </w:r>
    </w:p>
    <w:p w14:paraId="3B8E0C08" w14:textId="77777777" w:rsidR="00382720" w:rsidRDefault="000B3911" w:rsidP="00B63E1D">
      <w:pPr>
        <w:spacing w:after="0" w:line="259" w:lineRule="auto"/>
        <w:ind w:left="0" w:firstLine="0"/>
      </w:pPr>
      <w:r>
        <w:t xml:space="preserve"> </w:t>
      </w:r>
    </w:p>
    <w:p w14:paraId="3B8E0C0A" w14:textId="40A37566" w:rsidR="00382720" w:rsidRDefault="000B3911" w:rsidP="00BD46B9">
      <w:pPr>
        <w:pStyle w:val="Luettelokappale"/>
        <w:numPr>
          <w:ilvl w:val="0"/>
          <w:numId w:val="3"/>
        </w:numPr>
      </w:pPr>
      <w:r>
        <w:t xml:space="preserve">jos kyse on EU:n hankintadirektiivien soveltamisalaan kuuluvasta, EU-kynnysarvot ylittävästä hankinta- tai käyttöoikeussopimuksesta, </w:t>
      </w:r>
      <w:r w:rsidR="001255DD">
        <w:t>Hakija</w:t>
      </w:r>
      <w:r>
        <w:t xml:space="preserve"> ei ole asetuksen (EU) 833/2014 artiklan 5 k tarkoittama  </w:t>
      </w:r>
    </w:p>
    <w:p w14:paraId="3B8E0C0B" w14:textId="77777777" w:rsidR="00382720" w:rsidRDefault="000B3911" w:rsidP="00BD46B9">
      <w:pPr>
        <w:numPr>
          <w:ilvl w:val="0"/>
          <w:numId w:val="4"/>
        </w:numPr>
        <w:ind w:hanging="569"/>
      </w:pPr>
      <w:r>
        <w:t xml:space="preserve">Venäjän kansalainen tai Venäjälle sijoittautunut luonnollinen henkilö tai oikeushenkilö, yhteisö tai elin,  </w:t>
      </w:r>
    </w:p>
    <w:p w14:paraId="3B8E0C0C" w14:textId="77777777" w:rsidR="00382720" w:rsidRDefault="000B3911" w:rsidP="00BD46B9">
      <w:pPr>
        <w:numPr>
          <w:ilvl w:val="0"/>
          <w:numId w:val="4"/>
        </w:numPr>
        <w:ind w:hanging="569"/>
      </w:pPr>
      <w:r>
        <w:t xml:space="preserve">oikeushenkilö, yhteisö tai elin, josta edellä kohdassa b) i. tarkoitettu yhteisö omistaa suoraan tai välillisesti yli 50 prosenttia, eikä </w:t>
      </w:r>
    </w:p>
    <w:p w14:paraId="3B8E0C0D" w14:textId="77777777" w:rsidR="00382720" w:rsidRDefault="000B3911" w:rsidP="00BD46B9">
      <w:pPr>
        <w:numPr>
          <w:ilvl w:val="0"/>
          <w:numId w:val="4"/>
        </w:numPr>
        <w:ind w:hanging="569"/>
      </w:pPr>
      <w:r>
        <w:t xml:space="preserve">luonnollinen henkilö, oikeushenkilö, yhteisö tai elin, joka toimii kohdassa b) i. tai b) ii tarkoitetun yhteisön puolesta tai johdolla </w:t>
      </w:r>
    </w:p>
    <w:p w14:paraId="3B8E0C0E" w14:textId="77777777" w:rsidR="00382720" w:rsidRDefault="000B3911" w:rsidP="00B63E1D">
      <w:pPr>
        <w:spacing w:after="0" w:line="259" w:lineRule="auto"/>
        <w:ind w:left="0" w:firstLine="0"/>
      </w:pPr>
      <w:r>
        <w:t xml:space="preserve"> </w:t>
      </w:r>
    </w:p>
    <w:p w14:paraId="611153FB" w14:textId="11CF8CD6" w:rsidR="005579C7" w:rsidRDefault="000B3911" w:rsidP="00CC7476">
      <w:pPr>
        <w:pStyle w:val="Luettelokappale"/>
        <w:numPr>
          <w:ilvl w:val="0"/>
          <w:numId w:val="3"/>
        </w:numPr>
        <w:spacing w:after="189"/>
      </w:pPr>
      <w:r>
        <w:t xml:space="preserve">jos kyse on EU:n hankintadirektiivien soveltamisalaan kuuluvasta, EU-kynnysarvot ylittävästä hankinta- tai käyttöoikeussopimuksesta, </w:t>
      </w:r>
      <w:r w:rsidR="001255DD">
        <w:t>Haki</w:t>
      </w:r>
      <w:r>
        <w:t xml:space="preserve">jan alihankkija, tavarantoimittaja tai voimavarayksikkö, jonka osuus hankintasopimuksen arvosta on yli 10 prosenttia, ei ole kohdissa </w:t>
      </w:r>
    </w:p>
    <w:p w14:paraId="3B8E0C0F" w14:textId="74BBBB67" w:rsidR="00382720" w:rsidRDefault="000B3911" w:rsidP="005579C7">
      <w:pPr>
        <w:pStyle w:val="Luettelokappale"/>
        <w:spacing w:after="189"/>
        <w:ind w:firstLine="0"/>
      </w:pPr>
      <w:r>
        <w:t xml:space="preserve">b) i.–iii.  tarkoitettu taho </w:t>
      </w:r>
    </w:p>
    <w:p w14:paraId="3B8E0C10" w14:textId="0A921B71" w:rsidR="00382720" w:rsidRDefault="001255DD" w:rsidP="005579C7">
      <w:pPr>
        <w:pStyle w:val="Luettelokappale"/>
        <w:numPr>
          <w:ilvl w:val="0"/>
          <w:numId w:val="3"/>
        </w:numPr>
        <w:spacing w:after="210"/>
      </w:pPr>
      <w:r>
        <w:t>Haki</w:t>
      </w:r>
      <w:r w:rsidR="000B3911">
        <w:t xml:space="preserve">ja ilmoittaa välittömästi </w:t>
      </w:r>
      <w:r w:rsidR="00666BCD">
        <w:t>Palosuojelurahastolle</w:t>
      </w:r>
      <w:r w:rsidR="009E6A4E">
        <w:t>,</w:t>
      </w:r>
      <w:r w:rsidR="000B3911">
        <w:t xml:space="preserve"> jos pakotteita asetetaan yhdellekään a) kohdassa tarkoitetulle taholle </w:t>
      </w:r>
      <w:r w:rsidR="005579C7" w:rsidRPr="005579C7">
        <w:t xml:space="preserve">tai jos kyse on kohtien </w:t>
      </w:r>
      <w:proofErr w:type="gramStart"/>
      <w:r w:rsidR="005579C7" w:rsidRPr="005579C7">
        <w:t>b)–</w:t>
      </w:r>
      <w:proofErr w:type="gramEnd"/>
      <w:r w:rsidR="005579C7" w:rsidRPr="005579C7">
        <w:t>c) mukaisesta tilanteesta</w:t>
      </w:r>
    </w:p>
    <w:p w14:paraId="3B8E0C11" w14:textId="74924A2E" w:rsidR="00382720" w:rsidRDefault="000B3911" w:rsidP="00CC7476">
      <w:pPr>
        <w:pStyle w:val="Luettelokappale"/>
        <w:numPr>
          <w:ilvl w:val="0"/>
          <w:numId w:val="3"/>
        </w:numPr>
      </w:pPr>
      <w:r>
        <w:t xml:space="preserve">tämän sopimuksen mukainen toiminta tai </w:t>
      </w:r>
      <w:r w:rsidR="001255DD">
        <w:t>Haki</w:t>
      </w:r>
      <w:r>
        <w:t>jan ja sen alihankkijoiden tuott</w:t>
      </w:r>
      <w:r w:rsidR="00010250">
        <w:t>a</w:t>
      </w:r>
      <w:r>
        <w:t>mien tuotteiden tai palvelujen käyttö ei riko edellä mainittuja pakotteita</w:t>
      </w:r>
      <w:r w:rsidR="0022311C">
        <w:t xml:space="preserve"> tai rajoitteita</w:t>
      </w:r>
      <w:r>
        <w:t xml:space="preserve">.  </w:t>
      </w:r>
    </w:p>
    <w:p w14:paraId="3B8E0C12" w14:textId="4CDBD262" w:rsidR="00382720" w:rsidRDefault="000B3911" w:rsidP="00B63E1D">
      <w:pPr>
        <w:spacing w:after="95" w:line="259" w:lineRule="auto"/>
        <w:ind w:left="991" w:firstLine="0"/>
      </w:pPr>
      <w:r>
        <w:t xml:space="preserve"> </w:t>
      </w:r>
    </w:p>
    <w:p w14:paraId="2822D95D" w14:textId="5BF97D81" w:rsidR="00CC7476" w:rsidRDefault="00CC7476" w:rsidP="00B63E1D">
      <w:pPr>
        <w:spacing w:after="95" w:line="259" w:lineRule="auto"/>
        <w:ind w:left="991" w:firstLine="0"/>
      </w:pPr>
    </w:p>
    <w:p w14:paraId="0D50AAF6" w14:textId="6ABB64D3" w:rsidR="00CC7476" w:rsidRDefault="00CC7476" w:rsidP="00B63E1D">
      <w:pPr>
        <w:spacing w:after="95" w:line="259" w:lineRule="auto"/>
        <w:ind w:left="991" w:firstLine="0"/>
      </w:pPr>
    </w:p>
    <w:p w14:paraId="3217DB1B" w14:textId="583D563A" w:rsidR="00CC7476" w:rsidRDefault="00CC7476" w:rsidP="00B63E1D">
      <w:pPr>
        <w:spacing w:after="95" w:line="259" w:lineRule="auto"/>
        <w:ind w:left="991" w:firstLine="0"/>
      </w:pPr>
    </w:p>
    <w:p w14:paraId="1FD7B3A9" w14:textId="29EC15EF" w:rsidR="00CC7476" w:rsidRDefault="00CC7476" w:rsidP="003A1DA2">
      <w:pPr>
        <w:spacing w:after="124"/>
        <w:ind w:left="0" w:firstLine="0"/>
      </w:pPr>
    </w:p>
    <w:p w14:paraId="3B8E0C15" w14:textId="2A5DD419" w:rsidR="00382720" w:rsidRDefault="001255DD" w:rsidP="00CC7476">
      <w:pPr>
        <w:spacing w:after="124"/>
        <w:ind w:left="730"/>
      </w:pPr>
      <w:r>
        <w:t>Haki</w:t>
      </w:r>
      <w:r w:rsidR="000B3911">
        <w:t xml:space="preserve">ja antaa pyynnöstä viipymättä </w:t>
      </w:r>
      <w:r w:rsidR="00666BCD">
        <w:t>Palosuojelurahastolle</w:t>
      </w:r>
      <w:r w:rsidR="000B3911">
        <w:t xml:space="preserve"> tiedot välittömistä tai välillisistä omistajistaan, alihankkijoistaan ja muista edunsaajistaan. Lisäksi </w:t>
      </w:r>
      <w:r>
        <w:t>Haki</w:t>
      </w:r>
      <w:r w:rsidR="000B3911">
        <w:t xml:space="preserve">ja sitoutuu ilmoittamaan viipymättä </w:t>
      </w:r>
      <w:r w:rsidR="00666BCD">
        <w:t>Palosuojelurahastolle</w:t>
      </w:r>
      <w:r w:rsidR="000B3911">
        <w:t>, jos hankintaan liittyvät suoritukset voivat välillisesti tai välittömästi päätyä pakotteiden kohteena olevalle taholle</w:t>
      </w:r>
      <w:r w:rsidR="00233BA1">
        <w:t xml:space="preserve"> </w:t>
      </w:r>
      <w:r w:rsidR="00233BA1" w:rsidRPr="00233BA1">
        <w:t>tai jos kyse on kohti</w:t>
      </w:r>
      <w:r w:rsidR="00233BA1">
        <w:t xml:space="preserve">en </w:t>
      </w:r>
      <w:proofErr w:type="gramStart"/>
      <w:r w:rsidR="00233BA1">
        <w:t>b)–</w:t>
      </w:r>
      <w:proofErr w:type="gramEnd"/>
      <w:r w:rsidR="00233BA1">
        <w:t>c) mukaisesta tilanteesta</w:t>
      </w:r>
      <w:r w:rsidR="000B3911">
        <w:t xml:space="preserve">.  </w:t>
      </w:r>
    </w:p>
    <w:p w14:paraId="3B8E0C18" w14:textId="3AB136EE" w:rsidR="00382720" w:rsidRDefault="000B3911" w:rsidP="00233BA1">
      <w:pPr>
        <w:spacing w:after="0" w:line="259" w:lineRule="auto"/>
        <w:ind w:left="2" w:firstLine="0"/>
      </w:pPr>
      <w:r>
        <w:t xml:space="preserve"> </w:t>
      </w:r>
      <w:r>
        <w:tab/>
        <w:t xml:space="preserve"> </w:t>
      </w:r>
    </w:p>
    <w:p w14:paraId="3B8E0C19" w14:textId="1F5D4B4E" w:rsidR="00382720" w:rsidRDefault="00666BCD" w:rsidP="00CC7476">
      <w:pPr>
        <w:pStyle w:val="Luettelokappale"/>
        <w:numPr>
          <w:ilvl w:val="0"/>
          <w:numId w:val="5"/>
        </w:numPr>
        <w:spacing w:after="210"/>
      </w:pPr>
      <w:r>
        <w:t>Palosuojelurahasto</w:t>
      </w:r>
      <w:r w:rsidR="000B3911">
        <w:t xml:space="preserve"> voi irtisanoa tämän sopimuksen päättymään välittömästi joko kokonaan tai niiden tuotteiden tai palvelujen osalta, joihin pakotteet </w:t>
      </w:r>
      <w:r w:rsidR="00C0748C">
        <w:t xml:space="preserve">tai rajoitteet </w:t>
      </w:r>
      <w:r w:rsidR="000B3911">
        <w:t xml:space="preserve">liittyvät, jos </w:t>
      </w:r>
    </w:p>
    <w:p w14:paraId="3B8E0C1A" w14:textId="500D7BFD" w:rsidR="00382720" w:rsidRDefault="000B3911" w:rsidP="00127BC4">
      <w:pPr>
        <w:numPr>
          <w:ilvl w:val="1"/>
          <w:numId w:val="6"/>
        </w:numPr>
        <w:spacing w:after="210"/>
      </w:pPr>
      <w:r>
        <w:t>E</w:t>
      </w:r>
      <w:r w:rsidR="00C0748C">
        <w:t xml:space="preserve">U </w:t>
      </w:r>
      <w:r>
        <w:t xml:space="preserve">tai YK asettaa </w:t>
      </w:r>
      <w:r w:rsidR="001255DD">
        <w:t>Haki</w:t>
      </w:r>
      <w:r>
        <w:t xml:space="preserve">jalle tai yllä kohdassa 1. a) tarkoitetuille tahoille pakotteita tai </w:t>
      </w:r>
    </w:p>
    <w:p w14:paraId="3B8E0C1B" w14:textId="64AABBF8" w:rsidR="00382720" w:rsidRDefault="000B3911" w:rsidP="00127BC4">
      <w:pPr>
        <w:numPr>
          <w:ilvl w:val="1"/>
          <w:numId w:val="6"/>
        </w:numPr>
        <w:spacing w:after="210"/>
      </w:pPr>
      <w:r>
        <w:t>hankintaan liittyvät suoritukset voivat välillisesti tai välittömästi päätyä taholle, jolle on asetettu tässä lu</w:t>
      </w:r>
      <w:r w:rsidR="00127BC4">
        <w:t>vussa tarkoitettuja pakotteita tai</w:t>
      </w:r>
    </w:p>
    <w:p w14:paraId="04F9FA5B" w14:textId="7BD67811" w:rsidR="00127BC4" w:rsidRDefault="00127BC4" w:rsidP="00127BC4">
      <w:pPr>
        <w:numPr>
          <w:ilvl w:val="1"/>
          <w:numId w:val="6"/>
        </w:numPr>
        <w:spacing w:after="210"/>
      </w:pPr>
      <w:r>
        <w:t xml:space="preserve">jos kyse on kohtien 1. </w:t>
      </w:r>
      <w:proofErr w:type="gramStart"/>
      <w:r>
        <w:t>b)–</w:t>
      </w:r>
      <w:proofErr w:type="gramEnd"/>
      <w:r>
        <w:t xml:space="preserve">c) mukaisesta tilanteesta. </w:t>
      </w:r>
    </w:p>
    <w:p w14:paraId="3B8E0C1C" w14:textId="0AD3BE3B" w:rsidR="00382720" w:rsidRDefault="00127BC4" w:rsidP="00127BC4">
      <w:pPr>
        <w:pStyle w:val="Luettelokappale"/>
        <w:numPr>
          <w:ilvl w:val="0"/>
          <w:numId w:val="5"/>
        </w:numPr>
        <w:spacing w:after="210"/>
      </w:pPr>
      <w:r w:rsidRPr="00127BC4">
        <w:t xml:space="preserve">Jos </w:t>
      </w:r>
      <w:r w:rsidR="001255DD">
        <w:t>Haki</w:t>
      </w:r>
      <w:r w:rsidRPr="00127BC4">
        <w:t xml:space="preserve">ja rikkoo näitä vakuutuksia, </w:t>
      </w:r>
      <w:r>
        <w:t>Palosuojelurahastolla</w:t>
      </w:r>
      <w:r w:rsidRPr="00127BC4">
        <w:t xml:space="preserve"> on oikeus saada vahingonkorvausta rikkomuksesta aiheutuneesta välillisestä tai välittömästä vahingosta. </w:t>
      </w:r>
      <w:r w:rsidR="001255DD">
        <w:t>Haki</w:t>
      </w:r>
      <w:r w:rsidRPr="00127BC4">
        <w:t xml:space="preserve">jan korvausvastuu on enintään viisi (5) kertaa hankintasopimuksen laskennallinen arvo. Vastuunrajoituksia ei sovelleta, jos </w:t>
      </w:r>
      <w:r w:rsidR="001255DD">
        <w:t>Haki</w:t>
      </w:r>
      <w:r w:rsidRPr="00127BC4">
        <w:t>ja on aiheuttanut vahingon tahallisesti tai törkeällä tuottamuksella.</w:t>
      </w:r>
    </w:p>
    <w:p w14:paraId="3B8E0C1D" w14:textId="30971C4F" w:rsidR="00382720" w:rsidRDefault="000B3911">
      <w:pPr>
        <w:spacing w:line="259" w:lineRule="auto"/>
        <w:ind w:left="854" w:firstLine="0"/>
      </w:pPr>
      <w:r>
        <w:t xml:space="preserve"> </w:t>
      </w:r>
    </w:p>
    <w:p w14:paraId="3025D220" w14:textId="4261D0EF" w:rsidR="00481538" w:rsidRDefault="00481538">
      <w:pPr>
        <w:spacing w:line="259" w:lineRule="auto"/>
        <w:ind w:left="854" w:firstLine="0"/>
      </w:pPr>
    </w:p>
    <w:p w14:paraId="3D993CE9" w14:textId="17A9778E" w:rsidR="001A0073" w:rsidRDefault="001A0073">
      <w:pPr>
        <w:spacing w:line="259" w:lineRule="auto"/>
        <w:ind w:left="854" w:firstLine="0"/>
      </w:pPr>
      <w:r>
        <w:t>[paikka ja aika]</w:t>
      </w:r>
    </w:p>
    <w:p w14:paraId="5B5C4DE3" w14:textId="77777777" w:rsidR="001A0073" w:rsidRDefault="001A0073">
      <w:pPr>
        <w:spacing w:line="259" w:lineRule="auto"/>
        <w:ind w:left="854" w:firstLine="0"/>
      </w:pPr>
    </w:p>
    <w:p w14:paraId="3B8E0C1F" w14:textId="097E03BB" w:rsidR="00382720" w:rsidRDefault="001A0073" w:rsidP="001A0073">
      <w:pPr>
        <w:spacing w:after="10067" w:line="259" w:lineRule="auto"/>
        <w:ind w:left="854" w:firstLine="0"/>
      </w:pPr>
      <w:r>
        <w:t>[allekirjoitus]</w:t>
      </w:r>
    </w:p>
    <w:sectPr w:rsidR="00382720">
      <w:headerReference w:type="default" r:id="rId11"/>
      <w:footnotePr>
        <w:numRestart w:val="eachPage"/>
      </w:footnotePr>
      <w:pgSz w:w="11906" w:h="16838"/>
      <w:pgMar w:top="751" w:right="992" w:bottom="851" w:left="113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C678" w14:textId="77777777" w:rsidR="004909A4" w:rsidRDefault="004909A4">
      <w:pPr>
        <w:spacing w:after="0" w:line="240" w:lineRule="auto"/>
      </w:pPr>
      <w:r>
        <w:separator/>
      </w:r>
    </w:p>
  </w:endnote>
  <w:endnote w:type="continuationSeparator" w:id="0">
    <w:p w14:paraId="17B09FE5" w14:textId="77777777" w:rsidR="004909A4" w:rsidRDefault="0049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A5A5" w14:textId="77777777" w:rsidR="004909A4" w:rsidRDefault="004909A4">
      <w:pPr>
        <w:spacing w:after="75" w:line="242" w:lineRule="auto"/>
        <w:ind w:left="2" w:right="31" w:firstLine="0"/>
      </w:pPr>
      <w:r>
        <w:separator/>
      </w:r>
    </w:p>
  </w:footnote>
  <w:footnote w:type="continuationSeparator" w:id="0">
    <w:p w14:paraId="7B14D603" w14:textId="77777777" w:rsidR="004909A4" w:rsidRDefault="004909A4">
      <w:pPr>
        <w:spacing w:after="75" w:line="242" w:lineRule="auto"/>
        <w:ind w:left="2" w:right="31" w:firstLine="0"/>
      </w:pPr>
      <w:r>
        <w:continuationSeparator/>
      </w:r>
    </w:p>
  </w:footnote>
  <w:footnote w:id="1">
    <w:p w14:paraId="3B8E0C24" w14:textId="002A2B18" w:rsidR="00382720" w:rsidRPr="001255DD" w:rsidRDefault="000B3911">
      <w:pPr>
        <w:pStyle w:val="footnotedescription"/>
        <w:rPr>
          <w:sz w:val="16"/>
          <w:szCs w:val="28"/>
        </w:rPr>
      </w:pPr>
      <w:r w:rsidRPr="001255DD">
        <w:rPr>
          <w:rStyle w:val="footnotemark"/>
          <w:sz w:val="16"/>
          <w:szCs w:val="28"/>
        </w:rPr>
        <w:footnoteRef/>
      </w:r>
      <w:r w:rsidRPr="001255DD">
        <w:rPr>
          <w:sz w:val="16"/>
          <w:szCs w:val="28"/>
        </w:rPr>
        <w:t xml:space="preserve"> </w:t>
      </w:r>
      <w:hyperlink r:id="rId1">
        <w:r w:rsidR="0022311C" w:rsidRPr="001255DD">
          <w:rPr>
            <w:color w:val="0000FF"/>
            <w:sz w:val="16"/>
            <w:szCs w:val="28"/>
            <w:u w:val="single" w:color="0000FF"/>
          </w:rPr>
          <w:t>EU:n (2022</w:t>
        </w:r>
        <w:r w:rsidRPr="001255DD">
          <w:rPr>
            <w:color w:val="0000FF"/>
            <w:sz w:val="16"/>
            <w:szCs w:val="28"/>
            <w:u w:val="single" w:color="0000FF"/>
          </w:rPr>
          <w:t>) rajoittavien toimenpiteiden eli pakotteiden tehokasta täytäntöönpanoa varten antamien parhaiden käytäntöjen</w:t>
        </w:r>
      </w:hyperlink>
      <w:hyperlink r:id="rId2">
        <w:r w:rsidRPr="001255DD">
          <w:rPr>
            <w:sz w:val="16"/>
            <w:szCs w:val="28"/>
          </w:rPr>
          <w:t xml:space="preserve"> m</w:t>
        </w:r>
      </w:hyperlink>
      <w:r w:rsidRPr="001255DD">
        <w:rPr>
          <w:sz w:val="16"/>
          <w:szCs w:val="28"/>
        </w:rPr>
        <w:t xml:space="preserve">ukaan peruste, joka on otettava huomioon arvioitaessa, onko oikeushenkilö tai yhteisö toisen henkilön tai yhteisön omistuksessa, on yli 50 prosentin omistus yhteisön omistusoikeuksista tai sen osake-enemmistö. Jos kyseinen peruste täyttyy, katsotaan että oikeushenkilö tai yhteisö on toisen henkilön tai yhteisön omistuksessa.  Ko. EU:n parhaissa käytänteissä on kuvattu kahdeksan perustetta, joilla puolestaan arvioidaan, onko oikeushenkilö tai yhteisö joko yksin tai muun osakkaan tai kolmannen osapuolen kanssa tehdyn sopimuksen nojalla toisen henkilön tai yhteisön määräysvallassa. Arvioinnissa riittää, että yksikin kriteereistä täytyy, jolloin katsotaan, että oikeushenkilö tai yhteisö on toisen henkilön tai yhteisön määräysvallassa, ellei tapauskohtaisesti toisin osoiteta. Arvioinnin kriteereitä ovat mm. oikeus tai valtuus nimittää tai erottaa enemmistö hallinto- tai johtoelinten jäseniä, muiden osakkaiden kanssa tehdyn sopimuksen perusteella on oikeus määrätä enemmistö hallinto- tai johtoelinten jäsenistä, oikeus käyttää oikeushenkilön koko tai osaa omaisuudesta. </w:t>
      </w:r>
    </w:p>
    <w:p w14:paraId="3B8E0C25" w14:textId="77777777" w:rsidR="00382720" w:rsidRDefault="000B3911">
      <w:pPr>
        <w:pStyle w:val="footnotedescription"/>
        <w:spacing w:after="0" w:line="259" w:lineRule="auto"/>
        <w:ind w:right="0"/>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CC9" w14:textId="16CC246D" w:rsidR="003A1DA2" w:rsidRDefault="003A1DA2" w:rsidP="003A1DA2">
    <w:pPr>
      <w:pStyle w:val="Yltunniste"/>
      <w:tabs>
        <w:tab w:val="clear" w:pos="4819"/>
        <w:tab w:val="clear" w:pos="9638"/>
      </w:tabs>
    </w:pPr>
    <w:r>
      <w:tab/>
    </w:r>
    <w:r>
      <w:tab/>
    </w:r>
    <w:r>
      <w:tab/>
    </w:r>
    <w:r>
      <w:tab/>
    </w:r>
    <w:r>
      <w:tab/>
    </w:r>
    <w:r>
      <w:tab/>
    </w:r>
    <w:r>
      <w:tab/>
    </w:r>
    <w:r>
      <w:tab/>
    </w:r>
    <w:r>
      <w:fldChar w:fldCharType="begin"/>
    </w:r>
    <w:r>
      <w:instrText>PAGE   \* MERGEFORMAT</w:instrText>
    </w:r>
    <w:r>
      <w:fldChar w:fldCharType="separate"/>
    </w:r>
    <w:r w:rsidR="00FA3EA5">
      <w:rPr>
        <w:noProof/>
      </w:rPr>
      <w:t>2</w:t>
    </w:r>
    <w:r>
      <w:fldChar w:fldCharType="end"/>
    </w:r>
    <w:r>
      <w:t>(</w:t>
    </w:r>
    <w:r w:rsidR="0001043A">
      <w:fldChar w:fldCharType="begin"/>
    </w:r>
    <w:r w:rsidR="0001043A">
      <w:instrText xml:space="preserve"> NUMPAGES   \* MERGEFORMAT </w:instrText>
    </w:r>
    <w:r w:rsidR="0001043A">
      <w:fldChar w:fldCharType="separate"/>
    </w:r>
    <w:r w:rsidR="00FA3EA5">
      <w:rPr>
        <w:noProof/>
      </w:rPr>
      <w:t>2</w:t>
    </w:r>
    <w:r w:rsidR="0001043A">
      <w:rPr>
        <w:noProof/>
      </w:rP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79D4"/>
    <w:multiLevelType w:val="hybridMultilevel"/>
    <w:tmpl w:val="60480BF0"/>
    <w:lvl w:ilvl="0" w:tplc="2C52B982">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2737B9D"/>
    <w:multiLevelType w:val="hybridMultilevel"/>
    <w:tmpl w:val="14D82910"/>
    <w:lvl w:ilvl="0" w:tplc="2B8CEEAE">
      <w:start w:val="1"/>
      <w:numFmt w:val="decimal"/>
      <w:lvlText w:val="%1."/>
      <w:lvlJc w:val="left"/>
      <w:pPr>
        <w:ind w:left="1125"/>
      </w:pPr>
      <w:rPr>
        <w:rFonts w:ascii="Arial" w:eastAsia="Arial" w:hAnsi="Arial" w:cs="Arial" w:hint="default"/>
        <w:b w:val="0"/>
        <w:bCs w:val="0"/>
        <w:i w:val="0"/>
        <w:iCs w:val="0"/>
        <w:strike w:val="0"/>
        <w:dstrike w:val="0"/>
        <w:color w:val="000000"/>
        <w:spacing w:val="0"/>
        <w:w w:val="100"/>
        <w:sz w:val="21"/>
        <w:szCs w:val="21"/>
        <w:u w:val="none" w:color="000000"/>
        <w:bdr w:val="none" w:sz="0" w:space="0" w:color="auto"/>
        <w:shd w:val="clear" w:color="auto" w:fill="auto"/>
        <w:vertAlign w:val="baseline"/>
        <w:lang w:val="fi-FI" w:eastAsia="en-US" w:bidi="ar-SA"/>
      </w:rPr>
    </w:lvl>
    <w:lvl w:ilvl="1" w:tplc="E9AAC036">
      <w:start w:val="1"/>
      <w:numFmt w:val="lowerLetter"/>
      <w:lvlText w:val="%2)"/>
      <w:lvlJc w:val="left"/>
      <w:pPr>
        <w:ind w:left="2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B057D2">
      <w:start w:val="1"/>
      <w:numFmt w:val="lowerRoman"/>
      <w:lvlText w:val="%3."/>
      <w:lvlJc w:val="left"/>
      <w:pPr>
        <w:ind w:left="3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667BE6">
      <w:start w:val="1"/>
      <w:numFmt w:val="decimal"/>
      <w:lvlText w:val="%4"/>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42378A">
      <w:start w:val="1"/>
      <w:numFmt w:val="lowerLetter"/>
      <w:lvlText w:val="%5"/>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1C8428">
      <w:start w:val="1"/>
      <w:numFmt w:val="lowerRoman"/>
      <w:lvlText w:val="%6"/>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AE5B96">
      <w:start w:val="1"/>
      <w:numFmt w:val="decimal"/>
      <w:lvlText w:val="%7"/>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1AFB36">
      <w:start w:val="1"/>
      <w:numFmt w:val="lowerLetter"/>
      <w:lvlText w:val="%8"/>
      <w:lvlJc w:val="left"/>
      <w:pPr>
        <w:ind w:left="7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A84F8C">
      <w:start w:val="1"/>
      <w:numFmt w:val="lowerRoman"/>
      <w:lvlText w:val="%9"/>
      <w:lvlJc w:val="left"/>
      <w:pPr>
        <w:ind w:left="7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0F268A"/>
    <w:multiLevelType w:val="hybridMultilevel"/>
    <w:tmpl w:val="6DEEAFCA"/>
    <w:lvl w:ilvl="0" w:tplc="040B001B">
      <w:start w:val="1"/>
      <w:numFmt w:val="lowerRoman"/>
      <w:lvlText w:val="%1."/>
      <w:lvlJc w:val="right"/>
      <w:pPr>
        <w:ind w:left="1125"/>
      </w:pPr>
      <w:rPr>
        <w:b w:val="0"/>
        <w:i w:val="0"/>
        <w:strike w:val="0"/>
        <w:dstrike w:val="0"/>
        <w:color w:val="000000"/>
        <w:sz w:val="22"/>
        <w:szCs w:val="22"/>
        <w:u w:val="none" w:color="000000"/>
        <w:bdr w:val="none" w:sz="0" w:space="0" w:color="auto"/>
        <w:shd w:val="clear" w:color="auto" w:fill="auto"/>
        <w:vertAlign w:val="baseline"/>
      </w:rPr>
    </w:lvl>
    <w:lvl w:ilvl="1" w:tplc="E9AAC036">
      <w:start w:val="1"/>
      <w:numFmt w:val="lowerLetter"/>
      <w:lvlText w:val="%2)"/>
      <w:lvlJc w:val="left"/>
      <w:pPr>
        <w:ind w:left="2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B057D2">
      <w:start w:val="1"/>
      <w:numFmt w:val="lowerRoman"/>
      <w:lvlText w:val="%3."/>
      <w:lvlJc w:val="left"/>
      <w:pPr>
        <w:ind w:left="3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667BE6">
      <w:start w:val="1"/>
      <w:numFmt w:val="decimal"/>
      <w:lvlText w:val="%4"/>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42378A">
      <w:start w:val="1"/>
      <w:numFmt w:val="lowerLetter"/>
      <w:lvlText w:val="%5"/>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1C8428">
      <w:start w:val="1"/>
      <w:numFmt w:val="lowerRoman"/>
      <w:lvlText w:val="%6"/>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AE5B96">
      <w:start w:val="1"/>
      <w:numFmt w:val="decimal"/>
      <w:lvlText w:val="%7"/>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1AFB36">
      <w:start w:val="1"/>
      <w:numFmt w:val="lowerLetter"/>
      <w:lvlText w:val="%8"/>
      <w:lvlJc w:val="left"/>
      <w:pPr>
        <w:ind w:left="7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A84F8C">
      <w:start w:val="1"/>
      <w:numFmt w:val="lowerRoman"/>
      <w:lvlText w:val="%9"/>
      <w:lvlJc w:val="left"/>
      <w:pPr>
        <w:ind w:left="7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F02FA0"/>
    <w:multiLevelType w:val="hybridMultilevel"/>
    <w:tmpl w:val="4CACC35E"/>
    <w:lvl w:ilvl="0" w:tplc="040B0017">
      <w:start w:val="2"/>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B040E0B"/>
    <w:multiLevelType w:val="hybridMultilevel"/>
    <w:tmpl w:val="C952F522"/>
    <w:lvl w:ilvl="0" w:tplc="040B0017">
      <w:start w:val="2"/>
      <w:numFmt w:val="lowerLetter"/>
      <w:lvlText w:val="%1)"/>
      <w:lvlJc w:val="left"/>
      <w:pPr>
        <w:ind w:left="720" w:hanging="360"/>
      </w:pPr>
      <w:rPr>
        <w:rFonts w:hint="default"/>
      </w:rPr>
    </w:lvl>
    <w:lvl w:ilvl="1" w:tplc="040B0017">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5B80CEB"/>
    <w:multiLevelType w:val="hybridMultilevel"/>
    <w:tmpl w:val="8BFCA8A2"/>
    <w:lvl w:ilvl="0" w:tplc="040B001B">
      <w:start w:val="1"/>
      <w:numFmt w:val="lowerRoman"/>
      <w:lvlText w:val="%1."/>
      <w:lvlJc w:val="right"/>
      <w:pPr>
        <w:ind w:left="1125"/>
      </w:pPr>
      <w:rPr>
        <w:b w:val="0"/>
        <w:i w:val="0"/>
        <w:strike w:val="0"/>
        <w:dstrike w:val="0"/>
        <w:color w:val="000000"/>
        <w:sz w:val="22"/>
        <w:szCs w:val="22"/>
        <w:u w:val="none" w:color="000000"/>
        <w:bdr w:val="none" w:sz="0" w:space="0" w:color="auto"/>
        <w:shd w:val="clear" w:color="auto" w:fill="auto"/>
        <w:vertAlign w:val="baseline"/>
      </w:rPr>
    </w:lvl>
    <w:lvl w:ilvl="1" w:tplc="E9AAC036">
      <w:start w:val="1"/>
      <w:numFmt w:val="lowerLetter"/>
      <w:lvlText w:val="%2)"/>
      <w:lvlJc w:val="left"/>
      <w:pPr>
        <w:ind w:left="2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B057D2">
      <w:start w:val="1"/>
      <w:numFmt w:val="lowerRoman"/>
      <w:lvlText w:val="%3."/>
      <w:lvlJc w:val="left"/>
      <w:pPr>
        <w:ind w:left="3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667BE6">
      <w:start w:val="1"/>
      <w:numFmt w:val="decimal"/>
      <w:lvlText w:val="%4"/>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42378A">
      <w:start w:val="1"/>
      <w:numFmt w:val="lowerLetter"/>
      <w:lvlText w:val="%5"/>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1C8428">
      <w:start w:val="1"/>
      <w:numFmt w:val="lowerRoman"/>
      <w:lvlText w:val="%6"/>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AE5B96">
      <w:start w:val="1"/>
      <w:numFmt w:val="decimal"/>
      <w:lvlText w:val="%7"/>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1AFB36">
      <w:start w:val="1"/>
      <w:numFmt w:val="lowerLetter"/>
      <w:lvlText w:val="%8"/>
      <w:lvlJc w:val="left"/>
      <w:pPr>
        <w:ind w:left="7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A84F8C">
      <w:start w:val="1"/>
      <w:numFmt w:val="lowerRoman"/>
      <w:lvlText w:val="%9"/>
      <w:lvlJc w:val="left"/>
      <w:pPr>
        <w:ind w:left="7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99825512">
    <w:abstractNumId w:val="1"/>
  </w:num>
  <w:num w:numId="2" w16cid:durableId="1977445174">
    <w:abstractNumId w:val="5"/>
  </w:num>
  <w:num w:numId="3" w16cid:durableId="1123769729">
    <w:abstractNumId w:val="3"/>
  </w:num>
  <w:num w:numId="4" w16cid:durableId="587924518">
    <w:abstractNumId w:val="2"/>
  </w:num>
  <w:num w:numId="5" w16cid:durableId="1883516409">
    <w:abstractNumId w:val="0"/>
  </w:num>
  <w:num w:numId="6" w16cid:durableId="1411192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720"/>
    <w:rsid w:val="00010250"/>
    <w:rsid w:val="0001043A"/>
    <w:rsid w:val="000B3911"/>
    <w:rsid w:val="0011594E"/>
    <w:rsid w:val="001255DD"/>
    <w:rsid w:val="00127BC4"/>
    <w:rsid w:val="0014384C"/>
    <w:rsid w:val="001A0073"/>
    <w:rsid w:val="001F0EC1"/>
    <w:rsid w:val="0021506A"/>
    <w:rsid w:val="0022311C"/>
    <w:rsid w:val="00233BA1"/>
    <w:rsid w:val="00324D0F"/>
    <w:rsid w:val="00361602"/>
    <w:rsid w:val="00382720"/>
    <w:rsid w:val="003A1DA2"/>
    <w:rsid w:val="00481538"/>
    <w:rsid w:val="004909A4"/>
    <w:rsid w:val="004D234C"/>
    <w:rsid w:val="005579C7"/>
    <w:rsid w:val="006011A7"/>
    <w:rsid w:val="00641765"/>
    <w:rsid w:val="00666BCD"/>
    <w:rsid w:val="006C4E25"/>
    <w:rsid w:val="008B0BBC"/>
    <w:rsid w:val="009E6A4E"/>
    <w:rsid w:val="00B63E1D"/>
    <w:rsid w:val="00BD46B9"/>
    <w:rsid w:val="00C0748C"/>
    <w:rsid w:val="00CC7476"/>
    <w:rsid w:val="00DA02EB"/>
    <w:rsid w:val="00E11E24"/>
    <w:rsid w:val="00E147B6"/>
    <w:rsid w:val="00F203BC"/>
    <w:rsid w:val="00FA3EA5"/>
    <w:rsid w:val="00FD74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0BFD"/>
  <w15:docId w15:val="{9FD7183B-23DD-4DFE-9475-5298948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4" w:line="251" w:lineRule="auto"/>
      <w:ind w:left="10" w:hanging="10"/>
    </w:pPr>
    <w:rPr>
      <w:rFonts w:ascii="Calibri" w:eastAsia="Calibri" w:hAnsi="Calibri" w:cs="Calibri"/>
      <w:color w:val="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footnotedescription">
    <w:name w:val="footnote description"/>
    <w:next w:val="Normaali"/>
    <w:link w:val="footnotedescriptionChar"/>
    <w:hidden/>
    <w:pPr>
      <w:spacing w:after="75" w:line="242" w:lineRule="auto"/>
      <w:ind w:left="2" w:right="31"/>
    </w:pPr>
    <w:rPr>
      <w:rFonts w:ascii="Calibri" w:eastAsia="Calibri" w:hAnsi="Calibri" w:cs="Calibri"/>
      <w:color w:val="000000"/>
      <w:sz w:val="12"/>
    </w:rPr>
  </w:style>
  <w:style w:type="character" w:customStyle="1" w:styleId="footnotedescriptionChar">
    <w:name w:val="footnote description Char"/>
    <w:link w:val="footnotedescription"/>
    <w:rPr>
      <w:rFonts w:ascii="Calibri" w:eastAsia="Calibri" w:hAnsi="Calibri" w:cs="Calibri"/>
      <w:color w:val="000000"/>
      <w:sz w:val="12"/>
    </w:rPr>
  </w:style>
  <w:style w:type="character" w:customStyle="1" w:styleId="footnotemark">
    <w:name w:val="footnote mark"/>
    <w:hidden/>
    <w:rPr>
      <w:rFonts w:ascii="Calibri" w:eastAsia="Calibri" w:hAnsi="Calibri" w:cs="Calibri"/>
      <w:color w:val="000000"/>
      <w:sz w:val="12"/>
      <w:vertAlign w:val="superscript"/>
    </w:rPr>
  </w:style>
  <w:style w:type="paragraph" w:styleId="Luettelokappale">
    <w:name w:val="List Paragraph"/>
    <w:basedOn w:val="Normaali"/>
    <w:uiPriority w:val="34"/>
    <w:qFormat/>
    <w:rsid w:val="00BD46B9"/>
    <w:pPr>
      <w:ind w:left="720"/>
      <w:contextualSpacing/>
    </w:pPr>
  </w:style>
  <w:style w:type="paragraph" w:styleId="Yltunniste">
    <w:name w:val="header"/>
    <w:basedOn w:val="Normaali"/>
    <w:link w:val="YltunnisteChar"/>
    <w:uiPriority w:val="99"/>
    <w:unhideWhenUsed/>
    <w:rsid w:val="003A1DA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A1DA2"/>
    <w:rPr>
      <w:rFonts w:ascii="Calibri" w:eastAsia="Calibri" w:hAnsi="Calibri" w:cs="Calibri"/>
      <w:color w:val="000000"/>
    </w:rPr>
  </w:style>
  <w:style w:type="paragraph" w:styleId="Alatunniste">
    <w:name w:val="footer"/>
    <w:basedOn w:val="Normaali"/>
    <w:link w:val="AlatunnisteChar"/>
    <w:uiPriority w:val="99"/>
    <w:unhideWhenUsed/>
    <w:rsid w:val="003A1DA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A1DA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ata.consilium.europa.eu/doc/document/ST-8519-2018-INIT/fi/pdf" TargetMode="External"/><Relationship Id="rId1" Type="http://schemas.openxmlformats.org/officeDocument/2006/relationships/hyperlink" Target="https://data.consilium.europa.eu/doc/document/ST-10572-2022-INIT/fi/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E37CF9611D9C4644AA333430B773FC50" ma:contentTypeVersion="4" ma:contentTypeDescription="Kampus asiakirja" ma:contentTypeScope="" ma:versionID="8d2e762807bdbede38a3f5c174afc014">
  <xsd:schema xmlns:xsd="http://www.w3.org/2001/XMLSchema" xmlns:xs="http://www.w3.org/2001/XMLSchema" xmlns:p="http://schemas.microsoft.com/office/2006/metadata/properties" xmlns:ns2="c138b538-c2fd-4cca-8c26-6e4e32e5a042" targetNamespace="http://schemas.microsoft.com/office/2006/metadata/properties" ma:root="true" ma:fieldsID="60386af13ed769f588526bdb63b74fcf"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01af20dd-1a13-4112-bfcc-160532b7e48f}" ma:internalName="TaxCatchAll" ma:showField="CatchAllData" ma:web="d8513711-4bf1-4bc2-8d8d-ad08ecf0093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1af20dd-1a13-4112-bfcc-160532b7e48f}" ma:internalName="TaxCatchAllLabel" ma:readOnly="true" ma:showField="CatchAllDataLabel" ma:web="d8513711-4bf1-4bc2-8d8d-ad08ecf00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C6BC7-181E-42EA-B52C-CBC02940069F}">
  <ds:schemaRefs>
    <ds:schemaRef ds:uri="Microsoft.SharePoint.Taxonomy.ContentTypeSync"/>
  </ds:schemaRefs>
</ds:datastoreItem>
</file>

<file path=customXml/itemProps2.xml><?xml version="1.0" encoding="utf-8"?>
<ds:datastoreItem xmlns:ds="http://schemas.openxmlformats.org/officeDocument/2006/customXml" ds:itemID="{0B3F0605-2603-41E9-94BC-3C34F4BBF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57DA1-B258-4651-A8FD-4AAC5595BFBB}">
  <ds:schemaRefs>
    <ds:schemaRef ds:uri="c138b538-c2fd-4cca-8c26-6e4e32e5a04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5179E62-FEB0-4B17-BEF3-C140E62B1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393</Words>
  <Characters>3188</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Meltti Tero (VM)</dc:creator>
  <cp:keywords/>
  <cp:lastModifiedBy>Björke Satu (SM)</cp:lastModifiedBy>
  <cp:revision>4</cp:revision>
  <dcterms:created xsi:type="dcterms:W3CDTF">2025-05-22T08:04:00Z</dcterms:created>
  <dcterms:modified xsi:type="dcterms:W3CDTF">2025-05-22T08:07:00Z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0x010100B5FAB64B6C204DD994D3FAC0C34E2BFF00E37CF9611D9C4644AA333430B773FC50</vt:lpwstr>
  </property>
  <property fmtid="{D5CDD505-2E9C-101B-9397-08002B2CF9AE}" pid="3" name="KampusOrganization">
    <vt:lpwstr/>
  </property>
  <property fmtid="{D5CDD505-2E9C-101B-9397-08002B2CF9AE}" pid="4" name="KampusKeywords">
    <vt:lpwstr/>
  </property>
</Properties>
</file>