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0BFD" w14:textId="181A82E7" w:rsidR="00382720" w:rsidRDefault="000B3911">
      <w:pPr>
        <w:spacing w:after="0" w:line="259" w:lineRule="auto"/>
        <w:ind w:right="-15"/>
        <w:jc w:val="right"/>
      </w:pPr>
      <w:r>
        <w:t xml:space="preserve"> </w:t>
      </w:r>
    </w:p>
    <w:p w14:paraId="3B8E0BFF" w14:textId="08CDCF1A" w:rsidR="00382720" w:rsidRPr="00F203BC" w:rsidRDefault="00C93196">
      <w:pPr>
        <w:spacing w:after="156" w:line="259" w:lineRule="auto"/>
        <w:ind w:left="2" w:firstLine="0"/>
        <w:rPr>
          <w:rFonts w:ascii="Cambria" w:eastAsia="Cambria" w:hAnsi="Cambria" w:cs="Cambria"/>
          <w:b/>
          <w:color w:val="auto"/>
          <w:sz w:val="24"/>
        </w:rPr>
      </w:pPr>
      <w:r>
        <w:rPr>
          <w:b/>
          <w:color w:val="auto"/>
          <w:sz w:val="24"/>
        </w:rPr>
        <w:t>Sökand</w:t>
      </w:r>
      <w:r w:rsidR="000B3911">
        <w:rPr>
          <w:b/>
          <w:color w:val="auto"/>
          <w:sz w:val="24"/>
        </w:rPr>
        <w:t>ens försäkran om sanktioner och komplettering av avtalsvillkor</w:t>
      </w:r>
    </w:p>
    <w:p w14:paraId="3C00F5D6" w14:textId="77777777" w:rsidR="003A1DA2" w:rsidRDefault="003A1DA2">
      <w:pPr>
        <w:spacing w:after="156" w:line="259" w:lineRule="auto"/>
        <w:ind w:left="2" w:firstLine="0"/>
      </w:pPr>
    </w:p>
    <w:p w14:paraId="3B8E0C00" w14:textId="18F651B4" w:rsidR="00382720" w:rsidRDefault="000B3911" w:rsidP="00B63E1D">
      <w:pPr>
        <w:numPr>
          <w:ilvl w:val="0"/>
          <w:numId w:val="1"/>
        </w:numPr>
        <w:spacing w:after="201"/>
        <w:ind w:left="273" w:hanging="271"/>
      </w:pPr>
      <w:r>
        <w:t xml:space="preserve">Europeiska unionen (EU) och Förenta </w:t>
      </w:r>
      <w:r w:rsidR="00AA0017">
        <w:t>n</w:t>
      </w:r>
      <w:r>
        <w:t xml:space="preserve">ationerna (FN) har infört och kan i framtiden införa sanktioner och/eller restriktioner i sin lagstiftning eller genom sina institutioners beslut. </w:t>
      </w:r>
      <w:r w:rsidR="00C93196">
        <w:t>Sökand</w:t>
      </w:r>
      <w:r>
        <w:t>en försäkrar att</w:t>
      </w:r>
    </w:p>
    <w:p w14:paraId="3B8E0C01" w14:textId="0BC44F9B" w:rsidR="00382720" w:rsidRDefault="004D234C" w:rsidP="004D234C">
      <w:pPr>
        <w:spacing w:after="201"/>
        <w:ind w:left="273" w:firstLine="0"/>
      </w:pPr>
      <w:r>
        <w:t>a) de sanktioner som avses ovan inte har införts</w:t>
      </w:r>
      <w:r w:rsidR="000B3911">
        <w:rPr>
          <w:vertAlign w:val="superscript"/>
        </w:rPr>
        <w:footnoteReference w:id="1"/>
      </w:r>
    </w:p>
    <w:p w14:paraId="3B8E0C02" w14:textId="173CF942" w:rsidR="00382720" w:rsidRDefault="000B3911" w:rsidP="00BD46B9">
      <w:pPr>
        <w:numPr>
          <w:ilvl w:val="0"/>
          <w:numId w:val="2"/>
        </w:numPr>
        <w:spacing w:after="120"/>
        <w:ind w:hanging="569"/>
      </w:pPr>
      <w:r>
        <w:t xml:space="preserve">mot </w:t>
      </w:r>
      <w:r w:rsidR="00C93196">
        <w:t>Sökanden</w:t>
      </w:r>
      <w:r>
        <w:t xml:space="preserve">,  </w:t>
      </w:r>
    </w:p>
    <w:p w14:paraId="3B8E0C03" w14:textId="0C5F2F21" w:rsidR="00382720" w:rsidRDefault="000B3911" w:rsidP="00BD46B9">
      <w:pPr>
        <w:numPr>
          <w:ilvl w:val="0"/>
          <w:numId w:val="2"/>
        </w:numPr>
        <w:ind w:hanging="569"/>
      </w:pPr>
      <w:r>
        <w:t xml:space="preserve">mot medlemmarna i </w:t>
      </w:r>
      <w:r w:rsidR="00C93196">
        <w:t>Sökanden</w:t>
      </w:r>
      <w:r w:rsidR="00C93196">
        <w:t>s</w:t>
      </w:r>
      <w:r>
        <w:t xml:space="preserve"> förvaltnings-, styrelse- eller tillsynsorgan eller mot personer som utövar bestämmande inflytande, representation, beslutanderätt eller tillsynsbehörighet, </w:t>
      </w:r>
    </w:p>
    <w:p w14:paraId="3B8E0C04" w14:textId="3A14AEA1" w:rsidR="00382720" w:rsidRDefault="000B3911" w:rsidP="008B0BBC">
      <w:pPr>
        <w:numPr>
          <w:ilvl w:val="0"/>
          <w:numId w:val="2"/>
        </w:numPr>
        <w:ind w:hanging="569"/>
      </w:pPr>
      <w:r>
        <w:t xml:space="preserve">mot </w:t>
      </w:r>
      <w:r w:rsidR="00C93196">
        <w:t>Sökanden</w:t>
      </w:r>
      <w:r w:rsidR="00C93196">
        <w:t>s</w:t>
      </w:r>
      <w:r>
        <w:t xml:space="preserve"> direkta eller indirekta ägare som äger mer än 50 procent av äganderätten till sammanslutningen eller en majoritet av sammanslutningens aktier,</w:t>
      </w:r>
    </w:p>
    <w:p w14:paraId="3B8E0C05" w14:textId="65B3653F" w:rsidR="00382720" w:rsidRDefault="000B3911" w:rsidP="00BD46B9">
      <w:pPr>
        <w:numPr>
          <w:ilvl w:val="0"/>
          <w:numId w:val="2"/>
        </w:numPr>
        <w:ind w:hanging="569"/>
      </w:pPr>
      <w:r>
        <w:t xml:space="preserve">mot underleverantörer som deltar i leveransen av produkter eller tjänster i enlighet med detta avtal, </w:t>
      </w:r>
    </w:p>
    <w:p w14:paraId="3B8E0C06" w14:textId="77777777" w:rsidR="00010250" w:rsidRDefault="000B3911" w:rsidP="00BD46B9">
      <w:pPr>
        <w:numPr>
          <w:ilvl w:val="0"/>
          <w:numId w:val="2"/>
        </w:numPr>
        <w:ind w:hanging="569"/>
      </w:pPr>
      <w:r>
        <w:t xml:space="preserve">mot medlemmarna i de berörda underleverantörernas förvaltnings-, styrelse- eller tillsynsorgan eller mot personer som utövar bestämmande inflytande, representation, beslutanderätt eller tillsynsbehörighet vid dessa underleverantörer, eller </w:t>
      </w:r>
    </w:p>
    <w:p w14:paraId="3B8E0C07" w14:textId="43A3AC31" w:rsidR="00382720" w:rsidRDefault="000B3911" w:rsidP="008B0BBC">
      <w:pPr>
        <w:numPr>
          <w:ilvl w:val="0"/>
          <w:numId w:val="2"/>
        </w:numPr>
        <w:ind w:hanging="569"/>
      </w:pPr>
      <w:r>
        <w:t>mot sådana underleverantörers direkta eller indirekta ägare som äger mer än 50 procent av äganderätten till sammanslutningen eller en majoritet av sammanslutningens aktier</w:t>
      </w:r>
    </w:p>
    <w:p w14:paraId="3B8E0C08" w14:textId="77777777" w:rsidR="00382720" w:rsidRDefault="000B3911" w:rsidP="00B63E1D">
      <w:pPr>
        <w:spacing w:after="0" w:line="259" w:lineRule="auto"/>
        <w:ind w:left="0" w:firstLine="0"/>
      </w:pPr>
      <w:r>
        <w:t xml:space="preserve"> </w:t>
      </w:r>
    </w:p>
    <w:p w14:paraId="3B8E0C0A" w14:textId="1F1240C6" w:rsidR="00382720" w:rsidRDefault="000B3911" w:rsidP="00BD46B9">
      <w:pPr>
        <w:pStyle w:val="Luettelokappale"/>
        <w:numPr>
          <w:ilvl w:val="0"/>
          <w:numId w:val="3"/>
        </w:numPr>
      </w:pPr>
      <w:r>
        <w:t xml:space="preserve">om det är fråga om upphandlingskontrakt eller koncessioner som omfattas av tillämpningsområdet för EU:s upphandlingsdirektiv och som överstiger EU:s tröskelvärden, är </w:t>
      </w:r>
      <w:r w:rsidR="00C93196">
        <w:t>Sökanden</w:t>
      </w:r>
      <w:r>
        <w:t xml:space="preserve"> inte en sådan i artikel 5k i förordning (EU) nr 833/2014 avsedd  </w:t>
      </w:r>
    </w:p>
    <w:p w14:paraId="3B8E0C0B" w14:textId="77777777" w:rsidR="00382720" w:rsidRDefault="000B3911" w:rsidP="00BD46B9">
      <w:pPr>
        <w:numPr>
          <w:ilvl w:val="0"/>
          <w:numId w:val="4"/>
        </w:numPr>
        <w:ind w:hanging="569"/>
      </w:pPr>
      <w:r>
        <w:t xml:space="preserve">rysk medborgare, fysisk person som är bosatt i Ryssland, juridisk person eller enhet som är etablerad i Ryssland eller organ som är etablerat i Ryssland,  </w:t>
      </w:r>
    </w:p>
    <w:p w14:paraId="3B8E0C0C" w14:textId="77777777" w:rsidR="00382720" w:rsidRDefault="000B3911" w:rsidP="00BD46B9">
      <w:pPr>
        <w:numPr>
          <w:ilvl w:val="0"/>
          <w:numId w:val="4"/>
        </w:numPr>
        <w:ind w:hanging="569"/>
      </w:pPr>
      <w:r>
        <w:t xml:space="preserve">juridisk person, enhet eller organ vars äganderätt till mer än 50 procent direkt eller indirekt ägs av en enhet som avses i punkt b underpunkt i, eller </w:t>
      </w:r>
    </w:p>
    <w:p w14:paraId="3B8E0C0D" w14:textId="77777777" w:rsidR="00382720" w:rsidRDefault="000B3911" w:rsidP="00BD46B9">
      <w:pPr>
        <w:numPr>
          <w:ilvl w:val="0"/>
          <w:numId w:val="4"/>
        </w:numPr>
        <w:ind w:hanging="569"/>
      </w:pPr>
      <w:r>
        <w:t xml:space="preserve">fysisk eller juridisk person, enhet eller organ som agerar för eller på uppdrag av en enhet som avses i punkt b underpunkt i eller ii </w:t>
      </w:r>
    </w:p>
    <w:p w14:paraId="3B8E0C0E" w14:textId="77777777" w:rsidR="00382720" w:rsidRDefault="000B3911" w:rsidP="00B63E1D">
      <w:pPr>
        <w:spacing w:after="0" w:line="259" w:lineRule="auto"/>
        <w:ind w:left="0" w:firstLine="0"/>
      </w:pPr>
      <w:r>
        <w:t xml:space="preserve"> </w:t>
      </w:r>
    </w:p>
    <w:p w14:paraId="3B8E0C0F" w14:textId="6BA6045F" w:rsidR="00382720" w:rsidRDefault="000B3911" w:rsidP="009E3FA2">
      <w:pPr>
        <w:pStyle w:val="Luettelokappale"/>
        <w:numPr>
          <w:ilvl w:val="0"/>
          <w:numId w:val="3"/>
        </w:numPr>
        <w:spacing w:after="189"/>
      </w:pPr>
      <w:r>
        <w:t xml:space="preserve">om det är fråga om upphandlingskontrakt eller koncessioner som omfattas av tillämpningsområdet för EU:s upphandlingsdirektiv och som överstiger EU:s tröskelvärden, är </w:t>
      </w:r>
      <w:r w:rsidR="00C93196">
        <w:t>Sökanden</w:t>
      </w:r>
      <w:r>
        <w:t>s underleverantör, leverantör eller resursenhet, om dennes andel av kontraktets värde överstiger 10 procent, inte en sådan aktör som avses i punkt b underpunkterna i–iii</w:t>
      </w:r>
    </w:p>
    <w:p w14:paraId="3B8E0C10" w14:textId="0EBB6B67" w:rsidR="00382720" w:rsidRDefault="00C93196" w:rsidP="005579C7">
      <w:pPr>
        <w:pStyle w:val="Luettelokappale"/>
        <w:numPr>
          <w:ilvl w:val="0"/>
          <w:numId w:val="3"/>
        </w:numPr>
        <w:spacing w:after="210"/>
      </w:pPr>
      <w:r>
        <w:t>Sökanden</w:t>
      </w:r>
      <w:r w:rsidR="000B3911">
        <w:t xml:space="preserve"> ska omedelbart informera Brandskyddsfonden om sanktioner införs mot någon av de aktörer som avses ovan i punkt a eller om det är fråga om en situation </w:t>
      </w:r>
      <w:r w:rsidR="00DA3B43">
        <w:t xml:space="preserve">som avses i </w:t>
      </w:r>
      <w:r w:rsidR="000B3911">
        <w:t xml:space="preserve">punkterna b </w:t>
      </w:r>
      <w:r w:rsidR="00DA3B43">
        <w:t>eller</w:t>
      </w:r>
      <w:r w:rsidR="000B3911">
        <w:t xml:space="preserve"> c</w:t>
      </w:r>
    </w:p>
    <w:p w14:paraId="3B8E0C11" w14:textId="503B8B7B" w:rsidR="00382720" w:rsidRDefault="000B3911" w:rsidP="00CC7476">
      <w:pPr>
        <w:pStyle w:val="Luettelokappale"/>
        <w:numPr>
          <w:ilvl w:val="0"/>
          <w:numId w:val="3"/>
        </w:numPr>
      </w:pPr>
      <w:r>
        <w:t xml:space="preserve">verksamheten enligt detta avtal eller användningen av produkter eller tjänster som tillhandahålls av </w:t>
      </w:r>
      <w:r w:rsidR="00C93196">
        <w:t>Sökanden</w:t>
      </w:r>
      <w:r>
        <w:t xml:space="preserve"> och dess underleverantörer inte bryter mot ovan nämnda sanktioner eller restriktioner.</w:t>
      </w:r>
      <w:r w:rsidR="00C93196">
        <w:t xml:space="preserve"> </w:t>
      </w:r>
    </w:p>
    <w:p w14:paraId="3B8E0C12" w14:textId="4CDBD262" w:rsidR="00382720" w:rsidRDefault="000B3911" w:rsidP="00B63E1D">
      <w:pPr>
        <w:spacing w:after="95" w:line="259" w:lineRule="auto"/>
        <w:ind w:left="991" w:firstLine="0"/>
      </w:pPr>
      <w:r>
        <w:t xml:space="preserve"> </w:t>
      </w:r>
    </w:p>
    <w:p w14:paraId="2822D95D" w14:textId="5BF97D81" w:rsidR="00CC7476" w:rsidRDefault="00CC7476" w:rsidP="00B63E1D">
      <w:pPr>
        <w:spacing w:after="95" w:line="259" w:lineRule="auto"/>
        <w:ind w:left="991" w:firstLine="0"/>
      </w:pPr>
    </w:p>
    <w:p w14:paraId="0D50AAF6" w14:textId="6ABB64D3" w:rsidR="00CC7476" w:rsidRDefault="00CC7476" w:rsidP="00B63E1D">
      <w:pPr>
        <w:spacing w:after="95" w:line="259" w:lineRule="auto"/>
        <w:ind w:left="991" w:firstLine="0"/>
      </w:pPr>
    </w:p>
    <w:p w14:paraId="3217DB1B" w14:textId="583D563A" w:rsidR="00CC7476" w:rsidRDefault="00CC7476" w:rsidP="00B63E1D">
      <w:pPr>
        <w:spacing w:after="95" w:line="259" w:lineRule="auto"/>
        <w:ind w:left="991" w:firstLine="0"/>
      </w:pPr>
    </w:p>
    <w:p w14:paraId="4421CA7C" w14:textId="5F61C199" w:rsidR="00CC7476" w:rsidRDefault="00CC7476" w:rsidP="00B63E1D">
      <w:pPr>
        <w:spacing w:after="95" w:line="259" w:lineRule="auto"/>
        <w:ind w:left="991" w:firstLine="0"/>
      </w:pPr>
    </w:p>
    <w:p w14:paraId="444D0085" w14:textId="5919C468" w:rsidR="00CC7476" w:rsidRDefault="00CC7476" w:rsidP="00B63E1D">
      <w:pPr>
        <w:spacing w:after="95" w:line="259" w:lineRule="auto"/>
        <w:ind w:left="991" w:firstLine="0"/>
      </w:pPr>
    </w:p>
    <w:p w14:paraId="1FD7B3A9" w14:textId="29EC15EF" w:rsidR="00CC7476" w:rsidRDefault="00CC7476" w:rsidP="003A1DA2">
      <w:pPr>
        <w:spacing w:after="124"/>
        <w:ind w:left="0" w:firstLine="0"/>
      </w:pPr>
    </w:p>
    <w:p w14:paraId="3B8E0C15" w14:textId="2C4A2E06" w:rsidR="00382720" w:rsidRDefault="00C93196" w:rsidP="00CC7476">
      <w:pPr>
        <w:spacing w:after="124"/>
        <w:ind w:left="730"/>
      </w:pPr>
      <w:r>
        <w:t>Sökanden</w:t>
      </w:r>
      <w:r w:rsidR="000B3911">
        <w:t xml:space="preserve"> ska utan dröjsmål på begäran lämna Brandskyddsfonden uppgifter om sina direkta eller indirekta ägare, underleverantörer och andra förmånstagare. </w:t>
      </w:r>
      <w:r w:rsidR="00CD1D24" w:rsidRPr="00CD1D24">
        <w:t>Sökanden</w:t>
      </w:r>
      <w:r w:rsidR="000B3911">
        <w:t xml:space="preserve"> förbinder sig dessutom att utan dröjsmål meddela Brandskyddsfonden om prestationerna i anslutning till upphandlingen indirekt eller direkt kan gå till en part som är föremål för sanktioner eller om det är fråga om en situation som avses i punkterna b </w:t>
      </w:r>
      <w:r w:rsidR="00DA3B43">
        <w:t>eller</w:t>
      </w:r>
      <w:r w:rsidR="000B3911">
        <w:t xml:space="preserve"> c.</w:t>
      </w:r>
      <w:r w:rsidR="000B3911">
        <w:rPr>
          <w:color w:val="FF0000"/>
        </w:rPr>
        <w:t xml:space="preserve"> </w:t>
      </w:r>
    </w:p>
    <w:p w14:paraId="3B8E0C18" w14:textId="3AB136EE" w:rsidR="00382720" w:rsidRDefault="000B3911" w:rsidP="00233BA1">
      <w:pPr>
        <w:spacing w:after="0" w:line="259" w:lineRule="auto"/>
        <w:ind w:left="2" w:firstLine="0"/>
      </w:pPr>
      <w:r>
        <w:t xml:space="preserve"> </w:t>
      </w:r>
      <w:r>
        <w:tab/>
        <w:t xml:space="preserve"> </w:t>
      </w:r>
    </w:p>
    <w:p w14:paraId="3B8E0C19" w14:textId="1F5D4B4E" w:rsidR="00382720" w:rsidRDefault="00666BCD" w:rsidP="00CC7476">
      <w:pPr>
        <w:pStyle w:val="Luettelokappale"/>
        <w:numPr>
          <w:ilvl w:val="0"/>
          <w:numId w:val="5"/>
        </w:numPr>
        <w:spacing w:after="210"/>
      </w:pPr>
      <w:r>
        <w:t xml:space="preserve">Brandskyddsfonden kan säga upp detta avtal med omedelbar verkan, antingen helt eller i fråga om de produkter eller tjänster som är föremål för sanktioner eller restriktioner, om </w:t>
      </w:r>
    </w:p>
    <w:p w14:paraId="3B8E0C1A" w14:textId="53FD23CB" w:rsidR="00382720" w:rsidRDefault="000B3911" w:rsidP="00127BC4">
      <w:pPr>
        <w:numPr>
          <w:ilvl w:val="1"/>
          <w:numId w:val="6"/>
        </w:numPr>
        <w:spacing w:after="210"/>
      </w:pPr>
      <w:r>
        <w:t xml:space="preserve">EU eller FN inför sanktioner mot </w:t>
      </w:r>
      <w:r w:rsidR="00CD1D24">
        <w:t>Sökanden</w:t>
      </w:r>
      <w:r>
        <w:t xml:space="preserve"> eller parter som avses ovan i punkt 1 a,</w:t>
      </w:r>
    </w:p>
    <w:p w14:paraId="3B8E0C1B" w14:textId="06CAB06C" w:rsidR="00382720" w:rsidRPr="00DA3B43" w:rsidRDefault="000B3911" w:rsidP="00127BC4">
      <w:pPr>
        <w:numPr>
          <w:ilvl w:val="1"/>
          <w:numId w:val="6"/>
        </w:numPr>
        <w:spacing w:after="210"/>
        <w:rPr>
          <w:color w:val="auto"/>
        </w:rPr>
      </w:pPr>
      <w:r w:rsidRPr="00DA3B43">
        <w:rPr>
          <w:color w:val="auto"/>
        </w:rPr>
        <w:t xml:space="preserve">prestationerna i anslutning till </w:t>
      </w:r>
      <w:r w:rsidR="004D30ED">
        <w:rPr>
          <w:color w:val="auto"/>
        </w:rPr>
        <w:t>upphandlingen</w:t>
      </w:r>
      <w:r w:rsidRPr="00DA3B43">
        <w:rPr>
          <w:color w:val="auto"/>
        </w:rPr>
        <w:t xml:space="preserve"> kan gå indirekt eller direkt till en part som är föremål för de sanktioner som avses i detta kapitel, eller</w:t>
      </w:r>
    </w:p>
    <w:p w14:paraId="04F9FA5B" w14:textId="7BD67811" w:rsidR="00127BC4" w:rsidRPr="00DA3B43" w:rsidRDefault="00127BC4" w:rsidP="00127BC4">
      <w:pPr>
        <w:numPr>
          <w:ilvl w:val="1"/>
          <w:numId w:val="6"/>
        </w:numPr>
        <w:spacing w:after="210"/>
        <w:rPr>
          <w:color w:val="auto"/>
        </w:rPr>
      </w:pPr>
      <w:r w:rsidRPr="00DA3B43">
        <w:rPr>
          <w:color w:val="auto"/>
        </w:rPr>
        <w:t xml:space="preserve">det är fråga om en situation som avses i punkterna 1 b eller c. </w:t>
      </w:r>
    </w:p>
    <w:p w14:paraId="3B8E0C1C" w14:textId="5C658FE7" w:rsidR="00382720" w:rsidRPr="00DA3B43" w:rsidRDefault="00127BC4" w:rsidP="00127BC4">
      <w:pPr>
        <w:pStyle w:val="Luettelokappale"/>
        <w:numPr>
          <w:ilvl w:val="0"/>
          <w:numId w:val="5"/>
        </w:numPr>
        <w:spacing w:after="210"/>
        <w:rPr>
          <w:color w:val="auto"/>
        </w:rPr>
      </w:pPr>
      <w:r w:rsidRPr="00DA3B43">
        <w:rPr>
          <w:color w:val="auto"/>
        </w:rPr>
        <w:t xml:space="preserve">Om </w:t>
      </w:r>
      <w:r w:rsidR="00C93196">
        <w:t>Sökanden</w:t>
      </w:r>
      <w:r w:rsidRPr="00DA3B43">
        <w:rPr>
          <w:color w:val="auto"/>
        </w:rPr>
        <w:t xml:space="preserve"> bryter mot dessa försäkringar har Brandskyddsfonden rätt att få skadestånd för den indirekta eller direkta skada som överträdelsen orsakat. </w:t>
      </w:r>
      <w:r w:rsidR="00C93196">
        <w:t>Sökanden</w:t>
      </w:r>
      <w:r w:rsidRPr="00DA3B43">
        <w:rPr>
          <w:color w:val="auto"/>
        </w:rPr>
        <w:t xml:space="preserve">s ersättningsansvar är högst fem (5) gånger det kalkylerade värdet av upphandlingskontraktet. Begränsningar av ansvaret tillämpas inte om </w:t>
      </w:r>
      <w:r w:rsidR="00C93196">
        <w:t>Sökanden</w:t>
      </w:r>
      <w:r w:rsidRPr="00DA3B43">
        <w:rPr>
          <w:color w:val="auto"/>
        </w:rPr>
        <w:t xml:space="preserve"> har orsakat skadan med avsikt eller av grov oaktsamhet.</w:t>
      </w:r>
    </w:p>
    <w:p w14:paraId="3B8E0C1D" w14:textId="30971C4F" w:rsidR="00382720" w:rsidRDefault="000B3911">
      <w:pPr>
        <w:spacing w:line="259" w:lineRule="auto"/>
        <w:ind w:left="854" w:firstLine="0"/>
      </w:pPr>
      <w:r>
        <w:t xml:space="preserve"> </w:t>
      </w:r>
    </w:p>
    <w:p w14:paraId="3025D220" w14:textId="4261D0EF" w:rsidR="00481538" w:rsidRDefault="00481538">
      <w:pPr>
        <w:spacing w:line="259" w:lineRule="auto"/>
        <w:ind w:left="854" w:firstLine="0"/>
      </w:pPr>
    </w:p>
    <w:p w14:paraId="3D993CE9" w14:textId="17A9778E" w:rsidR="001A0073" w:rsidRDefault="001A0073">
      <w:pPr>
        <w:spacing w:line="259" w:lineRule="auto"/>
        <w:ind w:left="854" w:firstLine="0"/>
      </w:pPr>
      <w:r>
        <w:t>[ort och datum]</w:t>
      </w:r>
    </w:p>
    <w:p w14:paraId="601208EA" w14:textId="77777777" w:rsidR="00D6616E" w:rsidRDefault="00D6616E">
      <w:pPr>
        <w:spacing w:line="259" w:lineRule="auto"/>
        <w:ind w:left="854" w:firstLine="0"/>
      </w:pPr>
    </w:p>
    <w:p w14:paraId="5352679A" w14:textId="59CC91E3" w:rsidR="00D6616E" w:rsidRDefault="00D6616E">
      <w:pPr>
        <w:spacing w:line="259" w:lineRule="auto"/>
        <w:ind w:left="854" w:firstLine="0"/>
      </w:pPr>
      <w:r w:rsidRPr="00D6616E">
        <w:t>[underskrift]</w:t>
      </w:r>
    </w:p>
    <w:p w14:paraId="5B5C4DE3" w14:textId="77777777" w:rsidR="001A0073" w:rsidRDefault="001A0073">
      <w:pPr>
        <w:spacing w:line="259" w:lineRule="auto"/>
        <w:ind w:left="854" w:firstLine="0"/>
      </w:pPr>
    </w:p>
    <w:sectPr w:rsidR="001A0073">
      <w:headerReference w:type="default" r:id="rId11"/>
      <w:footnotePr>
        <w:numRestart w:val="eachPage"/>
      </w:footnotePr>
      <w:pgSz w:w="11906" w:h="16838"/>
      <w:pgMar w:top="751" w:right="992" w:bottom="851" w:left="11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C678" w14:textId="77777777" w:rsidR="004909A4" w:rsidRDefault="004909A4">
      <w:pPr>
        <w:spacing w:after="0" w:line="240" w:lineRule="auto"/>
      </w:pPr>
      <w:r>
        <w:separator/>
      </w:r>
    </w:p>
  </w:endnote>
  <w:endnote w:type="continuationSeparator" w:id="0">
    <w:p w14:paraId="17B09FE5" w14:textId="77777777" w:rsidR="004909A4" w:rsidRDefault="0049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A5A5" w14:textId="77777777" w:rsidR="004909A4" w:rsidRDefault="004909A4">
      <w:pPr>
        <w:spacing w:after="75" w:line="242" w:lineRule="auto"/>
        <w:ind w:left="2" w:right="31" w:firstLine="0"/>
      </w:pPr>
      <w:r>
        <w:separator/>
      </w:r>
    </w:p>
  </w:footnote>
  <w:footnote w:type="continuationSeparator" w:id="0">
    <w:p w14:paraId="7B14D603" w14:textId="77777777" w:rsidR="004909A4" w:rsidRDefault="004909A4">
      <w:pPr>
        <w:spacing w:after="75" w:line="242" w:lineRule="auto"/>
        <w:ind w:left="2" w:right="31" w:firstLine="0"/>
      </w:pPr>
      <w:r>
        <w:continuationSeparator/>
      </w:r>
    </w:p>
  </w:footnote>
  <w:footnote w:id="1">
    <w:p w14:paraId="3B8E0C24" w14:textId="525DAFBE" w:rsidR="00382720" w:rsidRPr="006C7768" w:rsidRDefault="000B3911">
      <w:pPr>
        <w:pStyle w:val="footnotedescription"/>
        <w:rPr>
          <w:sz w:val="14"/>
          <w:szCs w:val="24"/>
        </w:rPr>
      </w:pPr>
      <w:r>
        <w:rPr>
          <w:rStyle w:val="footnotemark"/>
          <w:sz w:val="14"/>
          <w:szCs w:val="24"/>
        </w:rPr>
        <w:footnoteRef/>
      </w:r>
      <w:r>
        <w:rPr>
          <w:sz w:val="14"/>
        </w:rPr>
        <w:t xml:space="preserve"> </w:t>
      </w:r>
      <w:hyperlink r:id="rId1">
        <w:r>
          <w:rPr>
            <w:color w:val="0000FF"/>
            <w:sz w:val="14"/>
            <w:u w:val="single" w:color="0000FF"/>
          </w:rPr>
          <w:t>Enligt EU:s (2022) bästa praxis för effektivt genomförande av restriktiva åtgärder, alltså sanktioner</w:t>
        </w:r>
      </w:hyperlink>
      <w:r>
        <w:t>,</w:t>
      </w:r>
      <w:r>
        <w:rPr>
          <w:sz w:val="14"/>
        </w:rPr>
        <w:t xml:space="preserve"> är det kriterium som ska beaktas vid bedömningen av om en juridisk person eller en sammanslutning ägs av en annan person eller sammanslutning att den har över 50 procent av äganderätten till sammanslutningen eller en majoritet av dess aktier. Om detta kriterium är uppfyllt ska den juridiska personen eller sammanslutningen anses vara i en annan persons eller sammanslutnings ägo.  Ko. EU:s bästa praxis innehåller en beskrivning av åtta kriterier utifrån vilka man bedömer om en juridisk person eller sammanslutning, antingen ensam eller med stöd av ett avtal som ingåtts med en annan delägare eller en tredje part, kontrolleras av en annan person eller sammanslutning. Vid bedömningen räcker det att ett enda kriterium uppfylls för att man ska anse att en juridisk person eller en sammanslutning kontrolleras av en annan person eller sammanslutning, om inte något annat visas från fall till fall. Kriterierna för bedömningen är bland annat rätten eller bemyndigandet att utse eller entlediga en majoritet av ledamöterna i förvaltnings- eller ledningsorganen, rätten att med stöd av ett avtal med andra delägare utse majoriteten av ledamöterna i förvaltnings- eller ledningsorganen, rätten att använda den juridiska personens hela egendom eller en del av egendomen. </w:t>
      </w:r>
    </w:p>
    <w:p w14:paraId="3B8E0C25" w14:textId="77777777" w:rsidR="00382720" w:rsidRDefault="000B3911">
      <w:pPr>
        <w:pStyle w:val="footnotedescription"/>
        <w:spacing w:after="0" w:line="259" w:lineRule="auto"/>
        <w:ind w:right="0"/>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CC9" w14:textId="16CC246D" w:rsidR="003A1DA2" w:rsidRDefault="003A1DA2" w:rsidP="003A1DA2">
    <w:pPr>
      <w:pStyle w:val="Yltunniste"/>
      <w:tabs>
        <w:tab w:val="clear" w:pos="4819"/>
        <w:tab w:val="clear" w:pos="9638"/>
      </w:tabs>
    </w:pPr>
    <w:r>
      <w:tab/>
    </w:r>
    <w:r>
      <w:tab/>
    </w:r>
    <w:r>
      <w:tab/>
    </w:r>
    <w:r>
      <w:tab/>
    </w:r>
    <w:r>
      <w:tab/>
    </w:r>
    <w:r>
      <w:tab/>
    </w:r>
    <w:r>
      <w:tab/>
    </w:r>
    <w:r>
      <w:tab/>
    </w:r>
    <w:r>
      <w:fldChar w:fldCharType="begin"/>
    </w:r>
    <w:r>
      <w:instrText>PAGE   \* MERGEFORMAT</w:instrText>
    </w:r>
    <w:r>
      <w:fldChar w:fldCharType="separate"/>
    </w:r>
    <w:r w:rsidR="00FA3EA5">
      <w:t>2</w:t>
    </w:r>
    <w:r>
      <w:fldChar w:fldCharType="end"/>
    </w:r>
    <w:r>
      <w:t>(</w:t>
    </w:r>
    <w:r w:rsidR="00CD1D24">
      <w:fldChar w:fldCharType="begin"/>
    </w:r>
    <w:r w:rsidR="00CD1D24">
      <w:instrText xml:space="preserve"> NUMPAGES   \* MERGEFORMAT </w:instrText>
    </w:r>
    <w:r w:rsidR="00CD1D24">
      <w:fldChar w:fldCharType="separate"/>
    </w:r>
    <w:r w:rsidR="00FA3EA5">
      <w:t>2</w:t>
    </w:r>
    <w:r w:rsidR="00CD1D24">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9D4"/>
    <w:multiLevelType w:val="hybridMultilevel"/>
    <w:tmpl w:val="60480BF0"/>
    <w:lvl w:ilvl="0" w:tplc="2C52B982">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737B9D"/>
    <w:multiLevelType w:val="hybridMultilevel"/>
    <w:tmpl w:val="14D82910"/>
    <w:lvl w:ilvl="0" w:tplc="2B8CEEAE">
      <w:start w:val="1"/>
      <w:numFmt w:val="decimal"/>
      <w:lvlText w:val="%1."/>
      <w:lvlJc w:val="left"/>
      <w:pPr>
        <w:ind w:left="1125"/>
      </w:pPr>
      <w:rPr>
        <w:rFonts w:ascii="Arial" w:eastAsia="Arial" w:hAnsi="Arial" w:cs="Arial" w:hint="default"/>
        <w:b w:val="0"/>
        <w:bCs w:val="0"/>
        <w:i w:val="0"/>
        <w:iCs w:val="0"/>
        <w:strike w:val="0"/>
        <w:dstrike w:val="0"/>
        <w:color w:val="000000"/>
        <w:spacing w:val="0"/>
        <w:w w:val="100"/>
        <w:sz w:val="21"/>
        <w:szCs w:val="21"/>
        <w:u w:val="none" w:color="000000"/>
        <w:bdr w:val="none" w:sz="0" w:space="0" w:color="auto"/>
        <w:shd w:val="clear" w:color="auto" w:fill="auto"/>
        <w:vertAlign w:val="baseline"/>
        <w:lang w:val="fi-FI" w:eastAsia="en-US" w:bidi="ar-SA"/>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0F268A"/>
    <w:multiLevelType w:val="hybridMultilevel"/>
    <w:tmpl w:val="6DEEAFCA"/>
    <w:lvl w:ilvl="0" w:tplc="040B001B">
      <w:start w:val="1"/>
      <w:numFmt w:val="lowerRoman"/>
      <w:lvlText w:val="%1."/>
      <w:lvlJc w:val="right"/>
      <w:pPr>
        <w:ind w:left="1125"/>
      </w:pPr>
      <w:rPr>
        <w:b w:val="0"/>
        <w:i w:val="0"/>
        <w:strike w:val="0"/>
        <w:dstrike w:val="0"/>
        <w:color w:val="000000"/>
        <w:sz w:val="22"/>
        <w:szCs w:val="22"/>
        <w:u w:val="none" w:color="000000"/>
        <w:bdr w:val="none" w:sz="0" w:space="0" w:color="auto"/>
        <w:shd w:val="clear" w:color="auto" w:fill="auto"/>
        <w:vertAlign w:val="baseline"/>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F02FA0"/>
    <w:multiLevelType w:val="hybridMultilevel"/>
    <w:tmpl w:val="4CACC35E"/>
    <w:lvl w:ilvl="0" w:tplc="040B0017">
      <w:start w:val="2"/>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B040E0B"/>
    <w:multiLevelType w:val="hybridMultilevel"/>
    <w:tmpl w:val="C952F522"/>
    <w:lvl w:ilvl="0" w:tplc="040B0017">
      <w:start w:val="2"/>
      <w:numFmt w:val="lowerLetter"/>
      <w:lvlText w:val="%1)"/>
      <w:lvlJc w:val="left"/>
      <w:pPr>
        <w:ind w:left="720" w:hanging="360"/>
      </w:pPr>
      <w:rPr>
        <w:rFonts w:hint="default"/>
      </w:rPr>
    </w:lvl>
    <w:lvl w:ilvl="1" w:tplc="040B0017">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5B80CEB"/>
    <w:multiLevelType w:val="hybridMultilevel"/>
    <w:tmpl w:val="8BFCA8A2"/>
    <w:lvl w:ilvl="0" w:tplc="040B001B">
      <w:start w:val="1"/>
      <w:numFmt w:val="lowerRoman"/>
      <w:lvlText w:val="%1."/>
      <w:lvlJc w:val="right"/>
      <w:pPr>
        <w:ind w:left="1125"/>
      </w:pPr>
      <w:rPr>
        <w:b w:val="0"/>
        <w:i w:val="0"/>
        <w:strike w:val="0"/>
        <w:dstrike w:val="0"/>
        <w:color w:val="000000"/>
        <w:sz w:val="22"/>
        <w:szCs w:val="22"/>
        <w:u w:val="none" w:color="000000"/>
        <w:bdr w:val="none" w:sz="0" w:space="0" w:color="auto"/>
        <w:shd w:val="clear" w:color="auto" w:fill="auto"/>
        <w:vertAlign w:val="baseline"/>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3458889">
    <w:abstractNumId w:val="1"/>
  </w:num>
  <w:num w:numId="2" w16cid:durableId="1604651604">
    <w:abstractNumId w:val="5"/>
  </w:num>
  <w:num w:numId="3" w16cid:durableId="1105344440">
    <w:abstractNumId w:val="3"/>
  </w:num>
  <w:num w:numId="4" w16cid:durableId="1718502981">
    <w:abstractNumId w:val="2"/>
  </w:num>
  <w:num w:numId="5" w16cid:durableId="653949719">
    <w:abstractNumId w:val="0"/>
  </w:num>
  <w:num w:numId="6" w16cid:durableId="44014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20"/>
    <w:rsid w:val="00010250"/>
    <w:rsid w:val="00086422"/>
    <w:rsid w:val="000B3911"/>
    <w:rsid w:val="000E4807"/>
    <w:rsid w:val="00127BC4"/>
    <w:rsid w:val="0014384C"/>
    <w:rsid w:val="001A0073"/>
    <w:rsid w:val="001F0EC1"/>
    <w:rsid w:val="0021506A"/>
    <w:rsid w:val="0022311C"/>
    <w:rsid w:val="00233BA1"/>
    <w:rsid w:val="002F790B"/>
    <w:rsid w:val="00324D0F"/>
    <w:rsid w:val="00361602"/>
    <w:rsid w:val="00382720"/>
    <w:rsid w:val="003A1DA2"/>
    <w:rsid w:val="00481538"/>
    <w:rsid w:val="004909A4"/>
    <w:rsid w:val="004D234C"/>
    <w:rsid w:val="004D30ED"/>
    <w:rsid w:val="005579C7"/>
    <w:rsid w:val="006011A7"/>
    <w:rsid w:val="00641765"/>
    <w:rsid w:val="00666BCD"/>
    <w:rsid w:val="006C4E25"/>
    <w:rsid w:val="006C7768"/>
    <w:rsid w:val="008B0BBC"/>
    <w:rsid w:val="009E3FA2"/>
    <w:rsid w:val="009E6A4E"/>
    <w:rsid w:val="00AA0017"/>
    <w:rsid w:val="00B63E1D"/>
    <w:rsid w:val="00BD46B9"/>
    <w:rsid w:val="00C0748C"/>
    <w:rsid w:val="00C674A2"/>
    <w:rsid w:val="00C93196"/>
    <w:rsid w:val="00CC7476"/>
    <w:rsid w:val="00CD1D24"/>
    <w:rsid w:val="00D6616E"/>
    <w:rsid w:val="00DA02EB"/>
    <w:rsid w:val="00DA3B43"/>
    <w:rsid w:val="00DE35FB"/>
    <w:rsid w:val="00E11E24"/>
    <w:rsid w:val="00E147B6"/>
    <w:rsid w:val="00F203BC"/>
    <w:rsid w:val="00FA3EA5"/>
    <w:rsid w:val="00FD0B81"/>
    <w:rsid w:val="00FD74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0BFD"/>
  <w15:docId w15:val="{9FD7183B-23DD-4DFE-9475-5298948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4" w:line="251" w:lineRule="auto"/>
      <w:ind w:left="10" w:hanging="10"/>
    </w:pPr>
    <w:rPr>
      <w:rFonts w:ascii="Calibri" w:eastAsia="Calibri" w:hAnsi="Calibri" w:cs="Calibri"/>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otnotedescription">
    <w:name w:val="footnote description"/>
    <w:next w:val="Normaali"/>
    <w:link w:val="footnotedescriptionChar"/>
    <w:hidden/>
    <w:pPr>
      <w:spacing w:after="75" w:line="242" w:lineRule="auto"/>
      <w:ind w:left="2" w:right="31"/>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2"/>
      <w:vertAlign w:val="superscript"/>
    </w:rPr>
  </w:style>
  <w:style w:type="paragraph" w:styleId="Luettelokappale">
    <w:name w:val="List Paragraph"/>
    <w:basedOn w:val="Normaali"/>
    <w:uiPriority w:val="34"/>
    <w:qFormat/>
    <w:rsid w:val="00BD46B9"/>
    <w:pPr>
      <w:ind w:left="720"/>
      <w:contextualSpacing/>
    </w:pPr>
  </w:style>
  <w:style w:type="paragraph" w:styleId="Yltunniste">
    <w:name w:val="header"/>
    <w:basedOn w:val="Normaali"/>
    <w:link w:val="YltunnisteChar"/>
    <w:uiPriority w:val="99"/>
    <w:unhideWhenUsed/>
    <w:rsid w:val="003A1DA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1DA2"/>
    <w:rPr>
      <w:rFonts w:ascii="Calibri" w:eastAsia="Calibri" w:hAnsi="Calibri" w:cs="Calibri"/>
      <w:color w:val="000000"/>
    </w:rPr>
  </w:style>
  <w:style w:type="paragraph" w:styleId="Alatunniste">
    <w:name w:val="footer"/>
    <w:basedOn w:val="Normaali"/>
    <w:link w:val="AlatunnisteChar"/>
    <w:uiPriority w:val="99"/>
    <w:unhideWhenUsed/>
    <w:rsid w:val="003A1DA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1DA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0572-2022-INIT/sv/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E37CF9611D9C4644AA333430B773FC50" ma:contentTypeVersion="4" ma:contentTypeDescription="Kampus asiakirja" ma:contentTypeScope="" ma:versionID="8d2e762807bdbede38a3f5c174afc014">
  <xsd:schema xmlns:xsd="http://www.w3.org/2001/XMLSchema" xmlns:xs="http://www.w3.org/2001/XMLSchema" xmlns:p="http://schemas.microsoft.com/office/2006/metadata/properties" xmlns:ns2="c138b538-c2fd-4cca-8c26-6e4e32e5a042" targetNamespace="http://schemas.microsoft.com/office/2006/metadata/properties" ma:root="true" ma:fieldsID="60386af13ed769f588526bdb63b74fcf"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01af20dd-1a13-4112-bfcc-160532b7e48f}" ma:internalName="TaxCatchAll" ma:showField="CatchAllData" ma:web="d8513711-4bf1-4bc2-8d8d-ad08ecf009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af20dd-1a13-4112-bfcc-160532b7e48f}" ma:internalName="TaxCatchAllLabel" ma:readOnly="true" ma:showField="CatchAllDataLabel" ma:web="d8513711-4bf1-4bc2-8d8d-ad08ecf00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C6BC7-181E-42EA-B52C-CBC02940069F}">
  <ds:schemaRefs>
    <ds:schemaRef ds:uri="Microsoft.SharePoint.Taxonomy.ContentTypeSync"/>
  </ds:schemaRefs>
</ds:datastoreItem>
</file>

<file path=customXml/itemProps2.xml><?xml version="1.0" encoding="utf-8"?>
<ds:datastoreItem xmlns:ds="http://schemas.openxmlformats.org/officeDocument/2006/customXml" ds:itemID="{0B3F0605-2603-41E9-94BC-3C34F4BB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57DA1-B258-4651-A8FD-4AAC5595BFBB}">
  <ds:schemaRefs>
    <ds:schemaRef ds:uri="c138b538-c2fd-4cca-8c26-6e4e32e5a0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179E62-FEB0-4B17-BEF3-C140E62B1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433</Words>
  <Characters>3511</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Meltti Tero (VM)</dc:creator>
  <cp:keywords/>
  <cp:lastModifiedBy>Björke Satu (SM)</cp:lastModifiedBy>
  <cp:revision>4</cp:revision>
  <dcterms:created xsi:type="dcterms:W3CDTF">2025-06-02T06:46:00Z</dcterms:created>
  <dcterms:modified xsi:type="dcterms:W3CDTF">2025-06-02T06:50:00Z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0x010100B5FAB64B6C204DD994D3FAC0C34E2BFF00E37CF9611D9C4644AA333430B773FC50</vt:lpwstr>
  </property>
  <property fmtid="{D5CDD505-2E9C-101B-9397-08002B2CF9AE}" pid="3" name="KampusOrganization">
    <vt:lpwstr/>
  </property>
  <property fmtid="{D5CDD505-2E9C-101B-9397-08002B2CF9AE}" pid="4" name="KampusKeywords">
    <vt:lpwstr/>
  </property>
</Properties>
</file>